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repair_initiation_esl_ghana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Conversation-analytic multimodal modeling of repair initiation to predict uptake in Ghanaian ESL classroom interactions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Ghanaian ESL classrooms, repair initiations that include recipient-directed gaze within 500 ms and a deictic pointing gesture increase the probability of immediate complete uptake by at least 15 percentage points compared to repair initiations lacking both cues, controlling for activity type and learner proficiency.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classroom repair combines conversation analysis (CA) studies that describe repair sequences and small-scale multimodal analyses (which add gaze, gesture, and prosody) with computational attempts to detect repair events. CA research has established repair categories (open request, partial repeat, candidate correction, other-specifying) and documented how sequential position matters. Multimodal studies show embodied cues (gaze, pointing, posture) co-occur with repair but often use narrow samples and informal coding. Computational approaches either use shallow text features or multimodal classifiers trained on limited, non-CA-aligned annotations. Limitations: small and non-stratified corpora, inconsistent annotation schemas, weak mapping between model labels and CA transcripts (hurting interpretability), limited reliability reporting for multimodal codes, and poor cross-classroom generalization. No prior work combines CA-grounded ELAN annotations, rigorous IRR, stratified sampling, and interpretable multilevel plus sequence models with human CA-excerpt audits.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investigates how repair initiation designs and multimodal cues function to resolve communication trouble in Ghanaian ESL classrooms, and whether those cues predict immediate uptake by learners. Using a conversation-analytic (CA) approach, we qualitatively transcribe and annotate repair-relevant episodes with time-aligned multimodal tiers (gaze, gesture, torso orientation, prosody, timing) in ELAN. We then extract CA-informed features and evaluate interpretable statistical and sequence models to predict uptake outcomes (immediate complete, partial, reformulation, delayed, no uptake). The main contribution is an integrated CA-to-model pipeline that preserves auditable links between model outputs and CA transcripts, enabling human-in-the-loop validation of top-ranked exemplars. Expected outcomes include measured effect sizes for multimodal predictors, evidence on model generalizability across activity types, and practitioner-facing exemplars that translate CA findings into classroom repair practices. The project emphasizes reproducibility, high inter-rater reliability, and ethical controlled sharing of masked excerpts.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corpus: 24 stratified episodes (8 form-focused drills, 8 communicative tasks, 8 reading-aloud) from 2–3 classes (≈6–9 sessions) annotated in ELAN; Main corpus target: ≈1,000 repair instances across multiple classrooms, teachers, topics, and proficiency bands. Splits: training (60%), validation (20%), test (20%) with additional hold-outs for cross-classroom, cross-teacher, and cross-topic generalization (leave-one-classroom-out and leave-one-topic-out). Baselines: (1) majority-class baseline (predict most common uptake), (2) rule-based CA heuristic (e.g., partial repeat =&gt; uptake), (3) multilevel logistic regression (interpretable), (4) CRF/Markov sequence model (sequence dependence), (5) multimodal transformer (fusion). Evaluation metrics: classification AUC, accuracy, precision, recall, F1 per uptake class; calibration (Brier score), Cohen's kappa and Krippendorff's alpha for IRR; survival metrics for time-to-uptake: concordance index (C-index) and median time-to-event error. Human-audit metrics: exemplar retrieval precision@k (top-k retrieved CA excerpts judged by CA analysts), and error typology coverage. Feature ablation studies: remove gaze, remove gesture, remove prosody, remove timing features, and compare model drops in AUC and C-index. Modeling ablations: compare multilevel logistic vs CRF vs transformer on same feature set. Experimental setup: extract features from ELAN exports (JSON-LD), normalize timing to ms, encode categorical tiers; fit multilevel models with random intercepts for learner and classroom; fit CRF for short sequences and transformers for full-instance fusion when ≥1,000 instances; map all model outputs to stable episode/turn UUIDs for CA-excerpt audit. Statistical tests: report 95% bootstrap CIs and likelihood-ratio tests for nested models. IRR procedure: calibration on E01–E04 until Cohen's kappa/Krippendorff's alpha ≥0.80, then production double-coding 20% (30% for complex codes) and weekly adjudication.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noisy AV (occluded faces, poor audio) can reduce multimodal cue detection and lower IRR; automated exports may misalign tiers, breaking UUID mappings. Data and evaluation biases: stratified sampling may still under-represent rare repair types or proficiency levels; classroom-specific norms may limit cross-context generalization. Annotation limits: multimodal codes (gaze direction, torso orientation) may have lower IRR and be culturally specific, reducing reproducibility. Modeling limits: transformer or sequence models may overfit small corpora and reduce interpretability; effect sizes may be modest and context-dependent. Scalability and compute: multimodal fusion and transformer training require GPU resources and more data; resource limits may prevent full-scale modeling. Ethical and privacy constraints: consent restrictions can limit public sharing of exemplars, reducing external verification. Generalization: findings from Ghanaian ESL classrooms may not transfer to other cultural or institutional contexts without revalidation.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