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military_boards_audit_pk</w:t>
      </w:r>
    </w:p>
    <w:p>
      <w:r>
        <w:t xml:space="preserve"> </w:t>
      </w:r>
    </w:p>
    <w:p>
      <w:pPr>
        <w:pStyle w:val="Heading2"/>
      </w:pPr>
      <w:r>
        <w:t>Title</w:t>
      </w:r>
    </w:p>
    <w:p>
      <w:r>
        <w:t>Staggered difference-in-differences and instrumental-variable analysis of military-experienced board directors' effects on audit quality and earnings management in Pakistan</w:t>
      </w:r>
    </w:p>
    <w:p>
      <w:r>
        <w:t xml:space="preserve"> </w:t>
      </w:r>
    </w:p>
    <w:p>
      <w:pPr>
        <w:pStyle w:val="Heading2"/>
      </w:pPr>
      <w:r>
        <w:t>Short Hypothesis</w:t>
      </w:r>
    </w:p>
    <w:p>
      <w:r>
        <w:t>A higher proportion of board directors with prior military service causally reduces firm-level accrual-based and real earnings management by raising audit quality.</w:t>
      </w:r>
    </w:p>
    <w:p>
      <w:r>
        <w:t xml:space="preserve"> </w:t>
      </w:r>
    </w:p>
    <w:p>
      <w:pPr>
        <w:pStyle w:val="Heading2"/>
      </w:pPr>
      <w:r>
        <w:t>Related Work</w:t>
      </w:r>
    </w:p>
    <w:p>
      <w:r>
        <w:t>Prior work shows that board composition and director expertise affect earnings management and that audit-quality features (Big Four auditor, audit fees, restatements) relate to reporting quality. Studies using panel fixed effects and cross-sectional regressions find associations between independent directors or specialized expertise and lower discretionary accruals. Literature on audit quality uses abnormal audit fees, restatements, and accrual-quality measures but often treats audit quality as an outcome rather than a mediator. Research on military- or veteran-affiliated directors is limited and typically correlational, with weak treatment of endogeneity and sparse use of real earnings management (actual operational decisions) alongside accrual measures. Methodological gaps include reliance on single proxies for audit quality, weak or absent instruments, limited use of staggered-treatment event studies to handle heterogeneous timing, and poor measurement validation of veteran status. Emerging-market evidence, especially for Pakistan, is scarce, reducing external validity. These limitations leave causal mediation (military → audit quality → earnings management), robust instrument validation, and real-activity measures underexplored.</w:t>
      </w:r>
    </w:p>
    <w:p>
      <w:r>
        <w:t xml:space="preserve"> </w:t>
      </w:r>
    </w:p>
    <w:p>
      <w:pPr>
        <w:pStyle w:val="Heading2"/>
      </w:pPr>
      <w:r>
        <w:t>Abstract</w:t>
      </w:r>
    </w:p>
    <w:p>
      <w:r>
        <w:t>This study investigates whether and how military-experienced directors on corporate boards affect earnings management in non-financial firms listed on the Pakistan Stock Exchange (2010–2022). We estimate causal effects of board-level military experience on both accrual-based and real earnings management and test whether improved audit quality is the mediating channel. Identification combines within-firm panel models with staggered difference-in-differences (appointment-based and shock-based event studies) and instrumental-variable mediation to address nonrandom appointments. Military experience is coded with strict and liberal rules and validated by manual review. Audit quality is measured as a composite index (Big Four indicator, abnormal audit fees, restatements, accrual-quality metrics) and used as a mediator. The main contribution is a reproducible, multi-method causal test of the military→audit→earnings-management pathway in an emerging-market setting, including heterogeneity by rank, audit-committee role, and service length. Expected outcomes are credible causal estimates, quantified mediated proportion via audit quality, and practical evidence on governance design in emerging markets.</w:t>
      </w:r>
    </w:p>
    <w:p>
      <w:r>
        <w:t xml:space="preserve"> </w:t>
      </w:r>
    </w:p>
    <w:p>
      <w:pPr>
        <w:pStyle w:val="Heading2"/>
      </w:pPr>
      <w:r>
        <w:t>Experiments</w:t>
      </w:r>
    </w:p>
    <w:p>
      <w:r>
        <w:t>Datasets: firm-year panel of non-financial Pakistan Stock Exchange firms 2010–2022; director bios from BoardEx/Equilar plus EDGAR/DEF 14A and PSX/SECP filings; audit attributes from Audit Analytics and local filings (auditor name, audit fees, restatements); financials from Compustat/Worldscope or local financial statement extraction; local veteran-population and base-proximity measures from census/defense archives and BRAC exposure where applicable. Sample construction: exclude financial firms; construct firm-year MilitaryProp (proportion of directors with prior military service) and MilitaryCount; code rank bands (senior/mid/junior) and years-served bands (&lt;6, 6–20, &gt;20); create AuditQualityIndex via PCA and z-score alternatives. Baselines: (A) firm and year fixed-effect OLS: EM_it = alpha + beta MilitaryProp_it + X_it + FE_f + FE_t; (B) matched-sample FE (propensity-score matched firms); (C) staggered DiD event-study using Sun &amp; Abraham and Callaway &amp; Sant’Anna with appointment and shock timing; (D) IV and mediation: first-stage instrument MilitaryProp_it on local veteran share or BRAC-proximity; second-stage IV-Med-Robust for mediated effect through AuditQualityIndex. Outcomes and metrics: accrual-based EM = discretionary accruals (Jones and modified-Jones residuals); real EM = Roychowdhury measures (abnormal cash flow from operations, abnormal production costs, abnormal discretionary expenses); audit proxies = BigFour indicator, abnormal audit fees (residuals from audit-fee benchmark), restatement incidence, accrual-quality residuals. Evaluation metrics: point estimates and clustered SEs; first-stage F-statistics and partial R2; Hansen/Sargan overidentification p-values; event-study lead coefficients and pre-trend p-values; placebo-test p-values; percent mediated and bootstrap CI for mediated effect; robustness table of coefficient stability across alternative AuditQualityIndex (PCA vs equal-weight) and veteran-coding (strict vs liberal). Experimental setup details: cluster standard errors at firm level; winsorize continuous variables at 1%/99%; pre-register primary specifications; run ablation studies: (1) remove audit-quality mediator (direct effect only), (2) drop audit-committee veteran indicators, (3) strict vs liberal coding, (4) PCA vs equal-weight index, (5) use only accrual EM vs only real EM. Report power diagnostics and pilot match-rate diagnostics from 500-bio manual validation.</w:t>
      </w:r>
    </w:p>
    <w:p>
      <w:r>
        <w:t xml:space="preserve"> </w:t>
      </w:r>
    </w:p>
    <w:p>
      <w:pPr>
        <w:pStyle w:val="Heading2"/>
      </w:pPr>
      <w:r>
        <w:t>Risk Factors And Limitations</w:t>
      </w:r>
    </w:p>
    <w:p>
      <w:r>
        <w:t>Misclassification bias in veteran coding from incomplete or ambiguous bios may bias treatment measurement. Weak instruments (first-stage F&lt;10) will undermine IV and mediation inference. Audit Analytics and BoardEx coverage may be incomplete for Pakistani firms, producing missing data and selection bias. BRAC and base-proximity instruments are U.S.-centric and may not map cleanly to Pakistan; shock-based identification may be limited in external validity. Real earnings management measures are sensitive to model specification and may conflate operational shocks with manipulation. Small sample size or low prevalence of veteran directors in Pakistan can limit statistical power and precision. Unobserved time-varying confounders correlated with veteran appointments and earnings management (e.g., simultaneous governance reforms) pose threats to causal claims. Results may not generalize to other countries with different governance, legal, or auditor-market structures. Computational requirements are moderate but manual validation and entity-linking impose substantive labor constraints.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