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saudi_21cs_mixed_methods</w:t>
      </w:r>
    </w:p>
    <w:p>
      <w:r>
        <w:t xml:space="preserve"> </w:t>
      </w:r>
    </w:p>
    <w:p>
      <w:pPr>
        <w:pStyle w:val="Heading2"/>
      </w:pPr>
      <w:r>
        <w:t>Title</w:t>
      </w:r>
    </w:p>
    <w:p>
      <w:r>
        <w:t>A sequential exploratory mixed-methods study of English and mathematics teachers' integration of 21st century skills in Saudi classrooms</w:t>
      </w:r>
    </w:p>
    <w:p>
      <w:r>
        <w:t xml:space="preserve"> </w:t>
      </w:r>
    </w:p>
    <w:p>
      <w:pPr>
        <w:pStyle w:val="Heading2"/>
      </w:pPr>
      <w:r>
        <w:t>Short Hypothesis</w:t>
      </w:r>
    </w:p>
    <w:p>
      <w:r>
        <w:t>Teachers who receive recent targeted professional development that increases their self-efficacy will show higher observed integration of 21st century skills (creativity, collaboration, critical thinking, communication) in classroom instruction than teachers who do not receive such PD.</w:t>
      </w:r>
    </w:p>
    <w:p>
      <w:r>
        <w:t xml:space="preserve"> </w:t>
      </w:r>
    </w:p>
    <w:p>
      <w:pPr>
        <w:pStyle w:val="Heading2"/>
      </w:pPr>
      <w:r>
        <w:t>Related Work</w:t>
      </w:r>
    </w:p>
    <w:p>
      <w:r>
        <w:t>Prior work on 21st century skills (21CS) in schools has used three main approaches: self-report teacher surveys, classroom observation rubrics, and analysis of student artifacts (work samples or digital portfolios). Self-report studies are broad and scalable but often overestimate practice and suffer from social-desirability bias. Observation studies provide richer behavioral evidence but are costly, limited in sample size, and sometimes lack validated cross-subject anchors. Artifact-based analyses capture student work but vary in coding schemes and often lack links to classroom practice or policy alignment. Research on PD effects shows moderate gains in teacher self-efficacy and practice when coaching or blended models are used, but causal estimates are weak because of selection bias and limited use of robust designs. In the Saudi context specifically, studies are sparse, rarely account for gender-segregation or regional ICT gaps, and often lack psychometric tests for measurement invariance across subjects and school types.</w:t>
      </w:r>
    </w:p>
    <w:p>
      <w:r>
        <w:t xml:space="preserve"> </w:t>
      </w:r>
    </w:p>
    <w:p>
      <w:pPr>
        <w:pStyle w:val="Heading2"/>
      </w:pPr>
      <w:r>
        <w:t>Abstract</w:t>
      </w:r>
    </w:p>
    <w:p>
      <w:r>
        <w:t>This study investigates how English and mathematics teachers in Saudi Arabia integrate four 21st century skills—creativity, collaboration, critical thinking, and communication—into classroom instruction and identifies barriers to integration. We use a sequential exploratory mixed-methods design: qualitative interviews and policy coding inform the development of parallel teacher surveys, a two-level observation rubric, and artifact coding. The main contribution is a validated, crosswalked measurement system (policy alignment, teacher interpretation, observation, artifacts) that supports multilevel mediation analysis of PD and self-efficacy effects on observed practice. Expected outcomes include psychometrically tested scales with measurement invariance across subject, gender-segregation, and ICT regions; quantified concordance between self-report and observed practice; latent profiles of policy–practice alignment; and policy-relevant evidence on resource and leadership barriers. Results will inform regionally tailored PD tools and provide nationally weighted estimates of 21CS integration in Saudi English and math classrooms.</w:t>
      </w:r>
    </w:p>
    <w:p>
      <w:r>
        <w:t xml:space="preserve"> </w:t>
      </w:r>
    </w:p>
    <w:p>
      <w:pPr>
        <w:pStyle w:val="Heading2"/>
      </w:pPr>
      <w:r>
        <w:t>Experiments</w:t>
      </w:r>
    </w:p>
    <w:p>
      <w:r>
        <w:t>Dataset and sampling: stratified clustered sample targeting N≈600 teachers nested in ≈100 schools (avg cluster ≈6), stratified by region, public/private, gender-segregation, and urban/rural; observation subsample ≈60 classrooms balanced by subject and strata; interviews 40–60. Instruments: teacher survey (21CS integration, self-efficacy, PD history, leadership, resources), 0–3 two-level observation rubric across six dimensions, artifact coding for student work and digital portfolios, policy-codebook scores per school/region, ICT-readiness survey. Baselines: (A) self-report-only model; (B) observation-only model; (C) artifact-only model. Evaluation metrics: CFA fit indices (CFI, TLI, RMSEA), measurement invariance tests (configural, metric, scalar), inter-rater ICC for observers (target ≥ .80), multilevel SEM path coefficients with bootstrap 95% CIs, indirect effect size for mediation, weighted descriptive estimates, concordance measures (Pearson r, ICC, Cohen's kappa, Bland-Altman limits), latent-class analysis fit (BIC, AIC, entropy). Experimental setup: (1) Pilot in 2–3 diverse schools to validate instruments and train coders; coder training uses vignettes until ICC≥.80. (2) Main data collection with design weights computed from MoE census and nonresponse adjustments. (3) Causal tests: randomized small PD micro-intervention pilots (blended coaching vs peer mentoring vs control) embedded within pilot schools; pre-post measures enable cross-lagged panel tests (two waves) of teacher interpretation and observed practice. Endogeneity strategy: implement an instrumental-variable (IV) analysis using exogenous variation in regional PD rollout timing or assignment to Tatweer-supported PD (IV predicts teacher interpretation but plausibly not direct classroom practice), and compare IV estimates to cross-lagged results. Ablation studies: remove ICT-readiness covariate; compare models using only observation vs observation+artifact composite; compare PD formats. Software and procedures: use multilevel SEM packages (e.g., lavaan/mplus), multiple imputation for missing data, bootstrap for CIs, and Bayesian estimation when cluster counts are small. Reproducible outputs: analysis scripts, weighted tables, and model diagnostics.</w:t>
      </w:r>
    </w:p>
    <w:p>
      <w:r>
        <w:t xml:space="preserve"> </w:t>
      </w:r>
    </w:p>
    <w:p>
      <w:pPr>
        <w:pStyle w:val="Heading2"/>
      </w:pPr>
      <w:r>
        <w:t>Risk Factors And Limitations</w:t>
      </w:r>
    </w:p>
    <w:p>
      <w:r>
        <w:t>Measurement risks: failure to achieve measurement invariance across English and Math, gender-segregation, or regions; low inter-rater reliability for observations (ICC &lt; .80). Data risks: nonresponse bias, social-desirability in self-reports, limited or poor-quality artifacts, and incomplete policy documentation. Design risks: endogeneity between teacher interpretation and practice may remain if IVs are weak or rollout timing is correlated with unobserved factors. Logistic risks: delays in MoE/regional approvals, restricted classroom access in gender-segregated settings, and uneven ICT availability limiting artifact collection. Analysis risks: small effective cluster sizes for some strata reducing power for multilevel SEM and Bayesian models. Generalization limits: results reflect Saudi curricular and cultural context and may not generalize to other countries. Compute limits: multilevel SEM and LCA with complex weighting will require moderate compute and careful convergence checks.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