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reproducing_inequality_social_capital_digital_literacy_ses</w:t>
      </w:r>
    </w:p>
    <w:p>
      <w:r>
        <w:t xml:space="preserve"> </w:t>
      </w:r>
    </w:p>
    <w:p>
      <w:pPr>
        <w:pStyle w:val="Heading2"/>
      </w:pPr>
      <w:r>
        <w:t>Title</w:t>
      </w:r>
    </w:p>
    <w:p>
      <w:r>
        <w:t>Multilevel structural equation and quasi-experimental analysis of how social capital, digital literacy, and socioeconomic status shape access to selective higher education in China</w:t>
      </w:r>
    </w:p>
    <w:p>
      <w:r>
        <w:t xml:space="preserve"> </w:t>
      </w:r>
    </w:p>
    <w:p>
      <w:pPr>
        <w:pStyle w:val="Heading2"/>
      </w:pPr>
      <w:r>
        <w:t>Short Hypothesis</w:t>
      </w:r>
    </w:p>
    <w:p>
      <w:r>
        <w:t>Increases in bridging and linking social capital cause higher probabilities of selective college enrollment for Chinese high school graduates, and this causal effect is mediated by digital literacy and larger for students with lower socioeconomic status.</w:t>
      </w:r>
    </w:p>
    <w:p>
      <w:r>
        <w:t xml:space="preserve"> </w:t>
      </w:r>
    </w:p>
    <w:p>
      <w:pPr>
        <w:pStyle w:val="Heading2"/>
      </w:pPr>
      <w:r>
        <w:t>Related Work</w:t>
      </w:r>
    </w:p>
    <w:p>
      <w:r>
        <w:t>Existing work on higher education access typically links socioeconomic status (SES) to enrollment disparities using regression or decomposition methods; these approaches often treat social ties as simple counts or family background variables. Other studies measure social capital but focus on bonding ties (close family) rather than bridging (weak ties that bring new information) or linking (vertical ties to institutions). Digital literacy research frequently relies on self-report surveys rather than performance tasks or logged behavior, producing measurement error. Causal work has used difference-in-differences or instrumental variables (IV) for broadband or policy shocks, but rarely combines such quasi-experiments with latent measurement of networks and skills. Limitations in prior approaches include: (1) measurement bias from self-reports and lack of invariance testing across SES or regions; (2) failure to propagate measurement uncertainty into causal models; (3) limited integration of network-type heterogeneity (bonding/bridging/linking); (4) weak or untested instruments and sparse sensitivity analyses; (5) few studies linking performance-based digital tasks, network structure, and administrative enrollment outcomes.</w:t>
      </w:r>
    </w:p>
    <w:p>
      <w:r>
        <w:t xml:space="preserve"> </w:t>
      </w:r>
    </w:p>
    <w:p>
      <w:pPr>
        <w:pStyle w:val="Heading2"/>
      </w:pPr>
      <w:r>
        <w:t>Abstract</w:t>
      </w:r>
    </w:p>
    <w:p>
      <w:r>
        <w:t>This study examines how bonding, bridging, and linking social capital, together with digital literacy and socioeconomic status (SES), shape Chinese high school graduates' access to selective higher education. We combine a survey of 629 graduates across western, central, and eastern provinces with performance-based digital tasks, egocentric network generators, and administrative enrollment linkage. Our core method is a Bayesian multilevel structural equation model (ML-SEM) that embeds psychometrically calibrated latent measures (IRT for digital tasks; multi-group CFA for social-capital factors), school and county random effects, and quasi-experimental indicators (staggered broadband rollouts and phased counseling program rollouts) as exogenous variation. We estimate direct, indirect (mediation), and heterogeneous effects by SES, and triangulate estimates with IPTW/TMLE and causal-forest heterogeneity analyses. Main contributions are: (1) joint measurement of social capital and digital skills with propagated uncertainty; (2) integrated quasi-experimental and ML-SEM causal identification; and (3) policy-relevant counterfactual simulations showing how improving bridging/linking ties or digital literacy among low-SES students alters enrollment probabilities. Expected outcomes include robust estimates of mediated pathways that inform targeted interventions to reduce access inequality.</w:t>
      </w:r>
    </w:p>
    <w:p>
      <w:r>
        <w:t xml:space="preserve"> </w:t>
      </w:r>
    </w:p>
    <w:p>
      <w:pPr>
        <w:pStyle w:val="Heading2"/>
      </w:pPr>
      <w:r>
        <w:t>Experiments</w:t>
      </w:r>
    </w:p>
    <w:p>
      <w:r>
        <w:t>Datasets: primary survey (n=629) with performance digital tasks, egocentric network names/resources, self-report items, and linked administrative enrollment records; county-level treatment timelines for broadband expansion (2014-2018) and counseling program rollouts; small clustered pilot RCT in pilot districts (12 schools, blocked by SES; ~25 students per school; total ~300) randomizing a short portal-training/mentoring intervention. Baselines: (A) logistic regression predicting selective enrollment using SES and demographics only; (B) logistic with SES + self-reported digital literacy + simple network counts; (C) two-step mediation regression (separate regressions for mediator and outcome); (D) ML-SEM without latent measurement uncertainty. Proposed methods: Bayesian ML-SEM with latent measurement models (IRT 2PL for tasks; multi-group CFA for social capital), random intercepts for school and county, and quasi-experimental dummies or instruments at county level; two-stage latent-IV (Bayesian) when using rollout as instrument; IPTW and TMLE for doubly-robust estimates; causal forests for conditional average treatment effects (CATEs). Measurement pipeline: calibrate IRT thetas, run DIF tests (IRT-LR, ordinal logistic regression) across SES/urban/rural/province; use alignment or partial invariance if scalar invariance fails; export posterior draws of latent scores for downstream models. Evaluation metrics: causal estimates reported as ATE and indirect effect sizes with bootstrap or posterior credible intervals; prediction metrics for enrollment probability (AUC, Brier score); first-stage IV diagnostics (F-stat, Kleibergen-Paap); balance statistics and standardized mean differences; heterogeneity: CATE estimates and subgroup ATEs by SES tertiles. Ablations and comparisons: (1) performance-task digital literacy vs self-report digital literacy comparison; (2) full ML-SEM vs two-step mediation regression; (3) include vs exclude linking capital latent factor to measure its incremental contribution; (4) Bayesian latent-IV ML-SEM vs DiD/event-study estimators (Callaway-Sant’Anna / Sun-Abraham) on rollout data. Implementation details: cluster-robust SEs where frequentist methods used; Bayesian estimation in Stan/brms or blavaan with 4 chains, 2000 warmup + 2000 samples; reproducible pipeline in R (targets) or Python with containerization. Pre-analysis: preregister estimands, event windows, lead/lag checks, and placebo outcomes.</w:t>
      </w:r>
    </w:p>
    <w:p>
      <w:r>
        <w:t xml:space="preserve"> </w:t>
      </w:r>
    </w:p>
    <w:p>
      <w:pPr>
        <w:pStyle w:val="Heading2"/>
      </w:pPr>
      <w:r>
        <w:t>Risk Factors And Limitations</w:t>
      </w:r>
    </w:p>
    <w:p>
      <w:r>
        <w:t>Measurement error from small performance-task batteries and limited task coverage may bias estimates; DIF or lack of scalar invariance across SES, urban/rural, or provinces can invalidate latent-score comparisons. Small primary sample (n=629) limits power for precise subgroup heterogeneity and weak instrument risk for county-level rollouts may produce weak-IV bias. Administrative linkage gaps or mismatches could cause missing outcome data and selection bias. ML-SEM and Bayesian latent-IV models are computationally intensive and may suffer from slow convergence or sensitivity to priors. Nonrandom missingness and differential nonresponse by SES or region can bias causal estimates. Quasi-experimental assumptions (parallel trends for DiD, exclusion restriction for IV) may be violated; simulated or placebo checks may detect violations but cannot fully remove bias. Results may not generalize beyond sampled provinces, school types, or cohorts. Privacy and legal constraints (PIPL compliance, restrictions on cross-jurisdictional data transfer) may limit data sharing and replication by external teams.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