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hierarchical Bayesian study of gendered lexical, grammatical, and pragmatic variation in Switchboard telephone conversations</w:t>
      </w:r>
    </w:p>
    <w:p>
      <w:r>
        <w:t xml:space="preserve"> </w:t>
      </w:r>
    </w:p>
    <w:p>
      <w:pPr>
        <w:pStyle w:val="Heading2"/>
      </w:pPr>
      <w:r>
        <w:t>Short Hypothesis</w:t>
      </w:r>
    </w:p>
    <w:p>
      <w:r>
        <w:t>After adjusting for call formality, caller versus agent role, and speaker-level random effects, self-identified gender causally predicts differences in a latent interactional-style score computed from lexical, grammatical, and pragmatic features.</w:t>
      </w:r>
    </w:p>
    <w:p>
      <w:r>
        <w:t xml:space="preserve"> </w:t>
      </w:r>
    </w:p>
    <w:p>
      <w:pPr>
        <w:pStyle w:val="Heading2"/>
      </w:pPr>
      <w:r>
        <w:t>Related Work</w:t>
      </w:r>
    </w:p>
    <w:p>
      <w:r>
        <w:t>Existing work in variationist sociolinguistics and corpus linguistics has analyzed gendered variation using spoken corpora and telephone datasets. Typical approaches extract lexical counts, grammatical markers, and some pragmatic tags and analyze them with generalized linear models or simple mixed-effects models. Limitations include reliance on binary gender coding, sparse treatment of non-binary and trans speakers, little integration of prosody or ASR error modeling, and few studies that separate identity-driven effects from performance-driven interactional behavior. Prior models often omit cross-classified random structures (speaker and conversation) or random slopes for gender measures, and they rarely preregister priors or test measurement invariance across different gender indicators. Work that uses latent-variable methods seldom applies them jointly across lexical, grammatical, and pragmatic domains or validates latent factors against prosodic and outcome measures.</w:t>
      </w:r>
    </w:p>
    <w:p>
      <w:r>
        <w:t xml:space="preserve"> </w:t>
      </w:r>
    </w:p>
    <w:p>
      <w:pPr>
        <w:pStyle w:val="Heading2"/>
      </w:pPr>
      <w:r>
        <w:t>Abstract</w:t>
      </w:r>
    </w:p>
    <w:p>
      <w:r>
        <w:t>We study how gender relates to language use in spontaneous telephone speech by analyzing the Switchboard Dialogue Act Corpus with hierarchical Bayesian models. The problem is to separate identity-driven gender (self-ID, pronouns, perceived gender) from performance-driven interactional behavior (turn-initiation, repairs, hedges) while accounting for call formality and caller/agent role. We extract lexical, grammatical, pragmatic, and time-aligned prosodic features, build a latent interactional-style factor that links domains, and estimate cross-classified Bayesian models with speaker and conversation random effects and random slopes for multiple gender indicators. Main contributions are (1) a preregistered, reproducible pipeline combining ASR gold-standards, prosody alignment, and active-learning annotation; (2) multigroup measurement-invariance checks across gender indicators; and (3) latent-factor and multivariate models that permit robust inference about identity versus performance effects. Expected outcome is clearer, testable separation of gender sources of variation and reliable estimates for underrepresented gender groups.</w:t>
      </w:r>
    </w:p>
    <w:p>
      <w:r>
        <w:t xml:space="preserve"> </w:t>
      </w:r>
    </w:p>
    <w:p>
      <w:pPr>
        <w:pStyle w:val="Heading2"/>
      </w:pPr>
      <w:r>
        <w:t>Experiments</w:t>
      </w:r>
    </w:p>
    <w:p>
      <w:r>
        <w:t>Datasets: Switchboard Dialogue Act Corpus full set; hand-corrected gold-standard subset of 20-30 pilot calls; maintain &gt;=10-15% gold coverage in full dataset. Metadata: self-identified gender, pronouns, coder-perceived gender, formality label, caller/agent role, age, SES, region. Baselines: (A) cross-classified Bayesian models using only self-ID as fixed effect; (B) models using only perceived gender; (C) models without latent interactional-style factor; (D) frequentist mixed-effects GLMM equivalents. Primary models: cross-classified hierarchical Bayesian models with random intercepts for speaker and conversation, random effect for role, and random slopes for gender indicators across formality and interlocutor composition. Outcome families: negative-binomial (log link, token offset) for lexical rates; logistic for binary grammatical choices; ordered-logit or Gaussian for pragmatic scales. Priors: standardized betas ~ Normal(0,1.5); SDs ~ half-Student-t(3,0,2.5); correlation matrices ~ LKJ(2). Evaluation metrics: standardized effect sizes (posterior means), 95% credible intervals, posterior predictive checks (PPC), LOO cross-validation or WAIC for model comparison, Bayes factors where appropriate, DIF statistics from multigroup Bayesian CFA/MMM-IRT (posterior log-odds), inter-annotator reliability (Cohen's kappa, Krippendorff's alpha, ICC), ASR WER and ASR-induced bias measured by differences in parameter estimates on ASR vs gold data. Ablations: remove prosody features; collapse gender coding to binary; drop random slopes; omit latent factor. Additional tests: simulation-based power analysis using SESOI standardized beta = 0.15-0.20 to derive total N and per-cell minima, and sensitivity analyses over prior grids and alternative gender codings (binary, multi-category, continuous spectrum, joint indicators). ASR bias study: compare model outputs trained on ASR transcripts to those trained on gold transcripts; fit measurement-error models that weight observations by token-level ASR confidence (&lt;0.80 flagged) and report parameter shifts.</w:t>
      </w:r>
    </w:p>
    <w:p>
      <w:r>
        <w:t xml:space="preserve"> </w:t>
      </w:r>
    </w:p>
    <w:p>
      <w:pPr>
        <w:pStyle w:val="Heading2"/>
      </w:pPr>
      <w:r>
        <w:t>Risk Factors And Limitations</w:t>
      </w:r>
    </w:p>
    <w:p>
      <w:r>
        <w:t>Technical failure modes: Bayesian multivariate and latent models may not converge or may mix poorly with high-dimensional random effects; identifiability issues for latent factors if cross-domain loadings are weak. Data or evaluation biases: Switchboard is telephone speech and may not represent other settings; small numbers of nonbinary/trans speakers may limit power and lead to unstable subgroup estimates. ASR limitations: higher WER for certain voices (including nonbinary/trans speakers) can bias feature extraction and parameter estimates. Annotation risks: low inter-annotator agreement on pragmatic tags or repairs reduces measurement reliability. Scalability and compute: fitting cross-classified multivariate Bayesian models with many random slopes can require substantial compute and memory. Generalization limits: results may not transfer beyond US telephone speech or beyond the demographic makeup of the sampled calls. Ethical risks: misinterpretation of associations could stigmatize groups or be read as causal claims beyond what the design supports; measurement noninvariance across gender indicators could produce misleading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