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accented_malayalam_hate_speech_detection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multi-stream deep learning framework with advanced acoustic feature engineering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multi-level acoustic features (spectral, learned bottleneck, prosodic, and speaker embeddings) with augmentation (noise injection, time-stretch, pitch shift, SpecAugment) and SMOTE class balancing will yield higher per-accent macro-F1 and lower inter-accent false positive rate disparity than models using only log-mel or MFCC features.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hate-speech detection in speech mainly adapt text-classification methods to automatic speech recognition (ASR) outputs or use single-stream acoustic features like log-mel or MFCCs with CNNs. Work on accented-speech robustness focuses on ASR and speaker ID using large self-supervised models (wav2vec/XLSR) or augmentation (speed perturb, VTLP), but rarely targets hate-speech as the end task. Classical ML baselines (SVM, Random Forest, gradient-boosted trees) are used with MFCC statistics for small datasets. Limitations: prior systems often (1) ignore fine-grained accent stratification and speaker-independence, (2) use limited acoustic feature sets (missing prosody, formants, learned bottlenecks, and speaker embeddings), (3) lack robust class-balance strategies for skewed hate labels, (4) perform few stress tests such as cross-dataset or noise-perturbed validation, and (5) do not report per-accent fairness or calibration metrics. Synthetic-accent validation and fidelity checks are rarely applied, leaving open risks when using synthetic data for augmentation.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hate-speech detection in Malayalam speech with diverse regional and contact-language accents. The proposed approach builds a multi-stream deep learning pipeline that extracts rich acoustic features: short-time spectral measures (log-mel, STFT, MFCC), zero-crossing rate (ZCR), root-mean-square energy (RMS), mel spectrograms, prosodic and glottal features (F0 contour, jitter, shimmer, formants), and learned frame-level bottleneck embeddings from a wav2vec-style model; speaker/accent embeddings are included for conditioning. We apply waveform- and feature-level augmentations (noise injection, time stretching, pitch shifting, SpecAugment) and balance training labels using SMOTE (a synthetic oversampling method). We evaluate multiple classifiers (1D-CNN, SVM, Random Forest, XGBoost, LightGBM) under stratified, hold-out, speaker-independent, cross-dataset, and noise-perturbed validation to measure robustness and fairness. Main contribution: a reproducible, augmentation- and balance-aware feature stack plus a validation suite that reports per-accent performance, calibration, and error disparities. Expected outcome: improved per-accent detection accuracy and clearer understanding of failure modes across accent groups.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Primary collected Malayalam speech dataset stratified by accent groups: Northern, Central, Southern Kerala; urban vs rural; Tamil-contact coastal; Malayalam–English bilingual pockets; diaspora. Target: &gt;=100 speakers per major accent, 40–100 utterances per speaker. 2) Cross-dataset test: a held-out external Malayalam speech dataset (if available) or held-out regionally collected set. 3) Noise-perturbed set: primary dataset corrupted with Kerala-specific RIR/noise bank and SNRs {20,10,5} dB. 4) Synthetic-accent set: controlled TTS and phoneme-perturbation generated variants meeting fidelity checks. Baselines: A) 1D-CNN trained on 40-filter log-mel only; B) Classical ML on MFCC13+Δ+ΔΔ with per-utterance stats (SVM, Random Forest); C) wav2vec/XLSR fine-tuned classifier (bottleneck only). Proposed models: Multi-stream fusion model combining spectral stream (log-mel, STFT), learned bottleneck (XLSR-projected), prosodic/formant stream, and x-vector/ECAPA embeddings fused via cross-attention, trained with SMOTE and augmentation. Evaluation metrics: per-accent ROC-AUC, per-accent macro-F1, precision, recall, Expected Calibration Error (ECE), FPR and FNR per accent, equalized odds disparity, and per-accent confusion matrices. Experimental setup: audio preprocessing at 16 kHz mono, VAD trimming, per-utterance and per-speaker CMVN variants; feature extraction outputs as NPZ with fixed seeds and Dockerized extractor. Training: AdamW, lr schedules with warmup, batch size effective 16–32, early stopping on validation macro-F1. Validation regimes: 1) Stratified k-fold with accent×gender×age stratification; 2) Hold-out set (20% speakers); 3) Speaker-independent cross-validation (leave-speaker-group-out); 4) Cross-dataset generalization; 5) Noise-perturbed stress tests. Ablations: run controlled experiments removing each stream (no bottleneck, no prosody, no speaker embedding), disabling SMOTE, and disabling augmentations. Classifier comparison: 1D-CNN vs SVM vs Random Forest vs XGBoost vs LightGBM using identical feature inputs. Statistical tests: paired bootstrap 95% CIs for ROC-AUC and macro-F1; McNemar test for significant difference in error counts; Bonferroni correction for multiple comparisons. Reproducibility: fixed random seeds, seed logs, NPZ sample + unit tests, and container image recorded for each run.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bias and low inter-annotator agreement may produce noisy labels, especially across accents; Krippendorff's alpha may remain below target for some accents. Data imbalance: some accent groups may have fewer speakers, reducing statistical power and harming per-accent estimates. Synthetic-accent fidelity risk: synthetic variants may not match real accent distributions and can introduce harmful artifacts if fidelity checks fail. Augmentation overfitting: aggressive augmentations or SMOTE-generated samples can cause distribution shift and reduce real-world performance. Compute limits: multi-stream models and XLSR fine-tuning require substantial GPU resources, limiting large-scale ablation sweeps. Generalization: models trained on the sampled accents may not generalize to unseen dialects or sociolects. Ethical/legal constraints: decisions about thresholding and deployment can have social harms; dataset consent, anonymization, and lexicon governance impose limits on data sharing and replication. Evaluation bias: cross-dataset tests may be limited if external datasets are not truly independent or lack accent labels.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