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fuzzy_pa_west_taiwan</w:t>
      </w:r>
    </w:p>
    <w:p>
      <w:r>
        <w:t xml:space="preserve"> </w:t>
      </w:r>
    </w:p>
    <w:p>
      <w:pPr>
        <w:pStyle w:val="Heading2"/>
      </w:pPr>
      <w:r>
        <w:t>Title</w:t>
      </w:r>
    </w:p>
    <w:p>
      <w:r>
        <w:t>Applying a fuzzy-distinction aggregation to plan precautionary areas for offshore wind farms along the western coast of Taiwan</w:t>
      </w:r>
    </w:p>
    <w:p>
      <w:r>
        <w:t xml:space="preserve"> </w:t>
      </w:r>
    </w:p>
    <w:p>
      <w:pPr>
        <w:pStyle w:val="Heading2"/>
      </w:pPr>
      <w:r>
        <w:t>Short Hypothesis</w:t>
      </w:r>
    </w:p>
    <w:p>
      <w:r>
        <w:t>A fuzzy-distinction aggregation of AIS-derived navigational risk, ecological sensitivity, and wind/hydrological factors will yield precautionary-area maps that predict field-validated high-risk cells with higher spatial accuracy than maps produced by a single deterministic weighted-average model.</w:t>
      </w:r>
    </w:p>
    <w:p>
      <w:r>
        <w:t xml:space="preserve"> </w:t>
      </w:r>
    </w:p>
    <w:p>
      <w:pPr>
        <w:pStyle w:val="Heading2"/>
      </w:pPr>
      <w:r>
        <w:t>Related Work</w:t>
      </w:r>
    </w:p>
    <w:p>
      <w:r>
        <w:t>Existing approaches combine marine GIS layers, vessel-tracking (AIS) density, species distribution models, and engineering constraints using multi-criteria decision analysis (MCDA) or hard-threshold zoning. Some studies use fuzzy logic to smooth boundaries, while others rely on deterministic exclusion zones or fixed weights. Limitations: many methods apply fixed thresholds that create abrupt boundaries (not robust to data noise), do not propagate parameter uncertainty, or treat criteria independently (ignoring interactions between shipping and wildlife). Sensitivity analyses are often absent or limited, leaving weights and membership choices untested. Engineering constraints (wake effects, bathymetry) are sometimes added after ecological prioritization rather than integrated. Field validation with independent acoustic/telemetry surveys is rarely used at scale to judge map reliability. Reproducibility and auditable metadata are frequently incomplete in prior work.</w:t>
      </w:r>
    </w:p>
    <w:p>
      <w:r>
        <w:t xml:space="preserve"> </w:t>
      </w:r>
    </w:p>
    <w:p>
      <w:pPr>
        <w:pStyle w:val="Heading2"/>
      </w:pPr>
      <w:r>
        <w:t>Abstract</w:t>
      </w:r>
    </w:p>
    <w:p>
      <w:r>
        <w:t>We address the problem of designing precautionary areas (PAs) for offshore wind farms on Taiwan's west coast that jointly respect navigational safety, ecological sensitivity, and engineering constraints. We propose a fuzzy-distinction planning framework that turns AIS vessel-density, ecological hotspot, bathymetry/substrate, and wind/hydrological layers into per-criterion fuzzy membership maps (values 0–1). We combine these using Monte Carlo sampling of membership parameters and weight priors (N=2,000–5,000) to produce mean precautionary-score maps, uncertainty surfaces, and exceedance-probability layers for conservative/moderate/permissive scenarios. We run global sensitivity analysis (Morris then Sobol) to detect interactions (non-additivity) and decide whether to keep a weighted arithmetic mean or fit a Choquet integral (a mathematical aggregator that models interactions). The main contribution is a reproducible, auditable pipeline that quantifies spatial uncertainty, tests criterion interactions, and links outputs to livelihood-sensitive governance thresholds. Expected outcomes are uncertainty-aware PA maps, prioritized validation sites, and a documented decision rule set ready for policy review.</w:t>
      </w:r>
    </w:p>
    <w:p>
      <w:r>
        <w:t xml:space="preserve"> </w:t>
      </w:r>
    </w:p>
    <w:p>
      <w:pPr>
        <w:pStyle w:val="Heading2"/>
      </w:pPr>
      <w:r>
        <w:t>Experiments</w:t>
      </w:r>
    </w:p>
    <w:p>
      <w:r>
        <w:t>Datasets: AIS vessel tracks from Taiwan Marine and Fisheries Agency (processed to vessel-density rasters); bird occurrence and colony data from Taiwan Bird Conservation Society, eBird, GBIF; marine-mammal PAM and telemetry detections from Fisheries Agency and academic projects; bathymetry/substrate from National Applied Research Laboratories/Central Geological Survey; wind fields from MOEA/Global Wind Atlas/ERA5; fisheries effort and cultural sites from Fisheries Agency and heritage registries. All data reprojected to TWD97/TM2 and gridded at 50 m (100 m for prototypes). Baselines: (A) deterministic exclusion maps using hard thresholds, (B) single-run weighted arithmetic mean with fixed weights (no uncertainty), (C) weighted mean with Monte Carlo sampling but no interaction model. Proposed method: fuzzy-distinction aggregation with Monte Carlo sampling of membership parameters (triangular or truncated normal distributions) and weight priors (Dirichlet-constrained) with N=2,000–5,000 realizations. Evaluation metrics: spatial AUC (area under ROC) for predicting field-validated presence of sensitive species or collision-risk events (AUC explained as measure of ranking quality), Brier score (probability calibration), RMSE between predicted exceedance probabilities and observed incidence rates, top-decile precision/recall (hotspot detection), uncertainty coverage (percent of true events within predicted credible intervals), and Sobol indices for sensitivity (main and interaction effects). Experimental setup: run Morris screening (10–20 trajectories) to remove low-influence parameters, then Saltelli/Sobol GSA (sample size computed as (2p+2)*r where p=remaining params, r&gt;=1,000 base) to estimate first- and second-order indices. Spatial cross-validation: block holdout by coastal clusters (k=5 blocks) to avoid spatial leakage. Ablations: (1) remove ecological group, (2) remove navigational group, (3) remove engineering group, (4) replace trapezoid/sigmoid/gaussian membership shapes with binary thresholds, (5) disable livelihood-risk modulation L(x,s). Interaction test and model selection: decide Choquet vs weighted average if sum of Sobol second-order indices &gt;10–15% or any pairwise index &gt;5–10% and permutation p&lt;0.05; if so, fit Choquet capacity on training clusters and cross-validate on holdouts, report RMSE/AUC gain. Field validation: independent PAM arrays (6–12 stations), telemetry tags (20–50 animals), and boat/aerial transects (4–6 per season) across top-decile and high-uncertainty cells used as out-of-sample test data. Convergence criteria: cellwise mean and SD stabilization and Monte Carlo standard error &lt;2% for aggregate summaries.</w:t>
      </w:r>
    </w:p>
    <w:p>
      <w:r>
        <w:t xml:space="preserve"> </w:t>
      </w:r>
    </w:p>
    <w:p>
      <w:pPr>
        <w:pStyle w:val="Heading2"/>
      </w:pPr>
      <w:r>
        <w:t>Risk Factors And Limitations</w:t>
      </w:r>
    </w:p>
    <w:p>
      <w:r>
        <w:t>Data gaps and bias: seasonal and spatial gaps in bird and marine-mammal records, low AIS coverage for small fishing boats (AIS data bias), and coarse substrate data may bias memberships. Validation limits: PAM and tagging detectability vary by species and sea state (detection probability issues). Model mis-specification: wrong membership shapes or weight priors can systematically skew D(x) (model risk). Interaction detection cost: Sobol GSA scales poorly with parameter count (computational cost may be high). Overfitting: fitting a Choquet capacity to limited training clusters can overfit and not generalize. Governance limits: probabilistic maps may be hard to translate to hard legal rules without agreed thresholds. Transferability: tuned anchors and priors for western Taiwan may not generalize to other regions. Budget and field logistics: intensive field validation (PAM, tags, transects) is expensive and weather-dependent (typhoon season). Reproducibility risk: incomplete metadata or changing CRS/resolution choices can break auditable chains.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