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dance_therapy_rehab_bibliometric</w:t>
      </w:r>
    </w:p>
    <w:p>
      <w:r>
        <w:t xml:space="preserve"> </w:t>
      </w:r>
    </w:p>
    <w:p>
      <w:pPr>
        <w:pStyle w:val="Heading2"/>
      </w:pPr>
      <w:r>
        <w:t>Title</w:t>
      </w:r>
    </w:p>
    <w:p>
      <w:r>
        <w:t>Longitudinal bibliometric mapping of dance therapy in rehabilitation (2000–2024) using network analysis and integrated evidence-synthesis</w:t>
      </w:r>
    </w:p>
    <w:p>
      <w:r>
        <w:t xml:space="preserve"> </w:t>
      </w:r>
    </w:p>
    <w:p>
      <w:pPr>
        <w:pStyle w:val="Heading2"/>
      </w:pPr>
      <w:r>
        <w:t>Short Hypothesis</w:t>
      </w:r>
    </w:p>
    <w:p>
      <w:r>
        <w:t>An increased emergence of tele-dance and wearable-sensor themes in the literature (measured by keyword burst intensity and rising co-occurrence frequencies) causes a higher rate of new empirical rehabilitation trials and guideline citations within five years.</w:t>
      </w:r>
    </w:p>
    <w:p>
      <w:r>
        <w:t xml:space="preserve"> </w:t>
      </w:r>
    </w:p>
    <w:p>
      <w:pPr>
        <w:pStyle w:val="Heading2"/>
      </w:pPr>
      <w:r>
        <w:t>Related Work</w:t>
      </w:r>
    </w:p>
    <w:p>
      <w:r>
        <w:t>Prior work on dance therapy in rehabilitation consists mostly of narrative reviews, single-database literature surveys, and small meta-analyses focused on specific populations (for example, Parkinson's or stroke). Existing bibliometric studies in related areas have used static network maps (co-authorship, co-citation, and keyword co-occurrence) from single sources, but they often lack longitudinal windows, reproducible ETL pipelines, and formal intervention taxonomies. Evidence syntheses report promising motor and balance outcomes but are limited by small sample sizes, heterogeneous dosing and intervention descriptions, poor fidelity reporting, and inconsistent outcome selection. Methodologically, prior approaches have these weaknesses: limited cross-database deduplication and provenance tracking; absent or informal TIDieR-style coding for intervention content (which limits pooling and dose-response analysis); and rare integration of bibliometric predictors with downstream translational events (such as guideline citation or new trials). Thus current methods do not reliably link evolving scholarly themes to later clinical research activity or policy uptake.</w:t>
      </w:r>
    </w:p>
    <w:p>
      <w:r>
        <w:t xml:space="preserve"> </w:t>
      </w:r>
    </w:p>
    <w:p>
      <w:pPr>
        <w:pStyle w:val="Heading2"/>
      </w:pPr>
      <w:r>
        <w:t>Abstract</w:t>
      </w:r>
    </w:p>
    <w:p>
      <w:r>
        <w:t>We present a reproducible longitudinal bibliometric study of dance therapy in rehabilitation from 2000 to 2024 that maps intellectual structure, thematic evolution, and translational signals. Using exports from Scopus, Web of Science, and PubMed, we will build a versioned ETL pipeline with reversible deduplication and a TIDieR-derived taxonomy to code intervention modality, dose, delivery, and therapist credential. We will produce temporal co-authorship, co-citation, and keyword networks, run burst detection to find emergent themes, and integrate these bibliometric features with evidence-synthesis outputs limited to studies reporting validated rehabilitation outcomes. The main contribution is an end-to-end, auditable workflow that links bibliometric indicators (for example, burst intensity and centrality measures) to measurable translation endpoints (new trials and guideline citations), enabling prediction and visualization of research-to-practice trajectories. Expected outcomes include reproducible datasets, a finalized intervention taxonomy, maps of research change over time, and validated predictors of translational activity to guide future research prioritization.</w:t>
      </w:r>
    </w:p>
    <w:p>
      <w:r>
        <w:t xml:space="preserve"> </w:t>
      </w:r>
    </w:p>
    <w:p>
      <w:pPr>
        <w:pStyle w:val="Heading2"/>
      </w:pPr>
      <w:r>
        <w:t>Experiments</w:t>
      </w:r>
    </w:p>
    <w:p>
      <w:r>
        <w:t>Datasets: exports (2000–2024) from Scopus, Web of Science, PubMed; optional enrichment from CINAHL and PsycINFO. Create raw and deduplicated corpora with provenance. Ground-truth: build a hand-labeled subset of 300 records for deduplication benchmarking. Taxonomy coding: dual independent TIDieR-derived coding on a 200-record pilot then full coding. Baselines: (A) single-database static bibliometrics, (B) static multi-database networks without taxonomy, (C) no temporal burst detection. Network analyses: generate yearly co-authorship, co-citation, and keyword co-occurrence networks using bibliometrix/VOSviewer and CiteSpace. Parameter sweeps: time slice = 1,2,5 years; top-N = 25,50,100; g-index k = 10,25,50. Evaluation metrics: deduplication precision/recall and F1 on ground truth; inter-rater Cohen's kappa for taxonomy; network metrics: degree, betweenness, eigenvector centrality, modularity, silhouette; burst detection: burst intensity and duration. Translation prediction: define translation events as (1) appearance of a new clinical trial in the same theme within 1–5 years and (2) guideline citation within 1–5 years. Features: burst intensity, early altmetric score, centrality measures, journal clinicality (binary), author/institution translational hub flags. Models: logistic regression and random forest with time-forward cross-validation (train on earlier years, test on later). Report AUC, precision, recall, calibration, and RMSE for count outcomes. Ablations: remove taxonomy features; remove altmetrics; vary dedup_confidence thresholds (0.90, 0.95, 0.99) and report effect on downstream metrics. Meta-analysis (evidence-synthesis): pool outcomes when &gt;=3 clinically comparable studies using random-effects REML; report MD or SMD, 95% CI, tau2, I2, and 95% prediction interval; perform subgroup and meta-regression only if n&gt;=10.</w:t>
      </w:r>
    </w:p>
    <w:p>
      <w:r>
        <w:t xml:space="preserve"> </w:t>
      </w:r>
    </w:p>
    <w:p>
      <w:pPr>
        <w:pStyle w:val="Heading2"/>
      </w:pPr>
      <w:r>
        <w:t>Risk Factors And Limitations</w:t>
      </w:r>
    </w:p>
    <w:p>
      <w:r>
        <w:t>Incomplete indexing: relevant studies may be missing from chosen databases, biasing trends. Deduplication errors: false merges or missed duplicates can alter counts and networks. Misclassification: automated extraction of therapist credentials, modality, or dose may be incorrect, producing noise. Small evidence base: some outcomes or populations may have too few trials for reliable meta-analysis. Heterogeneity: wide variation in interventions, outcomes, and populations may preclude pooling. Publication and language bias: non-English or unpublished trials are underrepresented. Altmetric skew: early online attention may favor certain fields and not reflect clinical value. Temporal causality limits: bibliometric association does not prove true causal mechanisms. Compute and scalability: large citation networks can require high memory and long runtimes for burst and temporal analyses. Generalizability: results reflect indexed scholarly activity and may not capture local program adoption or informal clinical practice.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