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islam_comparative_aesthetics</w:t>
      </w:r>
    </w:p>
    <w:p>
      <w:r>
        <w:t xml:space="preserve"> </w:t>
      </w:r>
    </w:p>
    <w:p>
      <w:pPr>
        <w:pStyle w:val="Heading2"/>
      </w:pPr>
      <w:r>
        <w:t>Title</w:t>
      </w:r>
    </w:p>
    <w:p>
      <w:r>
        <w:t>An interdisciplinary comparative methodology combining ethnography, art history, philology, and multimodal computational analysis to map how aesthetic motif codes differ between Morocco and Indonesia</w:t>
      </w:r>
    </w:p>
    <w:p>
      <w:r>
        <w:t xml:space="preserve"> </w:t>
      </w:r>
    </w:p>
    <w:p>
      <w:pPr>
        <w:pStyle w:val="Heading2"/>
      </w:pPr>
      <w:r>
        <w:t>Short Hypothesis</w:t>
      </w:r>
    </w:p>
    <w:p>
      <w:r>
        <w:t>When controlling for material type and textual references, geographic region (Morocco versus Indonesia) causes statistically significant differences in motif variant clusters, such that region explains more variance in visual and semantic motif features than chronological period (p &lt; 0.05).</w:t>
      </w:r>
    </w:p>
    <w:p>
      <w:r>
        <w:t xml:space="preserve"> </w:t>
      </w:r>
    </w:p>
    <w:p>
      <w:pPr>
        <w:pStyle w:val="Heading2"/>
      </w:pPr>
      <w:r>
        <w:t>Related Work</w:t>
      </w:r>
    </w:p>
    <w:p>
      <w:r>
        <w:t>Prior work falls into three broad streams: (1) qualitative comparative studies in anthropology, art history, and comparative literature that trace motif transmission and local reception but lack standardized digital linkage across media; (2) digital humanities efforts using TEI (a markup format for texts) and IIIF (a standard for images) to publish editions and images, which provide strong interoperability but often remain single-discipline and lack multimodal linking; (3) computational research in visual motif detection and multimodal embeddings (for example, CLIP-style image-text models and metric-learning for visual similarity), and OCR/HTR (handwritten text recognition) for Arabic-script languages. Limitations: these streams rarely integrate ethnographic reception data or rigorous provenance metadata (CIDOC-CRM/PROV), datasets are small or regionally narrow for cross-national inference, existing ML models show limited interpretability for domain scholars, OCR/HTR performance on diverse scripts/hands is uneven, and ethical frameworks for community consent and co-authorship are inconsistently applied. No prior approach combines a formal three-register hermeneutic cycle (material, discursive, reception) with a reproducible multimodal pipeline, adjudication rules, and explainable motif analytics across Morocco and Indonesia.</w:t>
      </w:r>
    </w:p>
    <w:p>
      <w:r>
        <w:t xml:space="preserve"> </w:t>
      </w:r>
    </w:p>
    <w:p>
      <w:pPr>
        <w:pStyle w:val="Heading2"/>
      </w:pPr>
      <w:r>
        <w:t>Abstract</w:t>
      </w:r>
    </w:p>
    <w:p>
      <w:r>
        <w:t>This project addresses whether and how aesthetic motif codes differ between Islamic practices in Morocco and Indonesia by combining interdisciplinary close reading with multimodal computational analysis. We implement an integrated workflow that links IIIF image canvases, TEI-encoded textual passages, and ethnographic transcripts to persistent motif identifiers, and we apply supervised and metric-learning models to create an interpretable motif similarity space. The main contribution is a reproducible seed pipeline that operationalizes three analytic registers—material-relational, discursive-interpretive, and reception-driven—and a multimodal evaluation that quantifies geographic versus chronological signals in motif variation. Expected outcomes are: (1) a validated motif crosswalk and seed dataset with versioned interpretive notes; (2) quantitative evidence on whether region predicts motif variants better than time; and (3) explainable model outputs (attention maps and attribution reports) usable by humanities scholars and community partners. The project foregrounds provenance, tiered consent, and adjudication rules to ensure ethically accountable, reproducible comparative claims.</w:t>
      </w:r>
    </w:p>
    <w:p>
      <w:r>
        <w:t xml:space="preserve"> </w:t>
      </w:r>
    </w:p>
    <w:p>
      <w:pPr>
        <w:pStyle w:val="Heading2"/>
      </w:pPr>
      <w:r>
        <w:t>Experiments</w:t>
      </w:r>
    </w:p>
    <w:p>
      <w:r>
        <w:t>Datasets: seed corpus of pilot materials balanced by region: 200 vetted high-resolution images (100 Morocco, 100 Indonesia) spanning mosque ornamentation, manuscript illuminations, and textiles; 50 TEI-encoded manuscript pages with passage-level IDs; 30 consented ethnographic transcripts with time-aligned interviewIDs; metadata records with persistent motifIDs and CIDOC-CRM provenance links. Augment with regional public-domain corpora where rights permit. Baselines: (A) image-only clustering using pretrained CNN embeddings (image baseline); (B) text-only motif linking using TF-IDF and named-entity features on TEI passages (text baseline); (C) CLIP-style multimodal embeddings pretrained on general data (generic multimodal baseline); (D) regional-agnostic metric-learning trained without provenance or reception inputs (metric baseline). Proposed method: multimodal motif linking combining fine-tuned metric-learning on images (contrastive or triplet loss) plus joint image-text embeddings fine-tuned on aligned IIIF canvas—TEI passage pairs and augmented with ethnographic linkage. Evaluation metrics: clustering precision, recall, F1; Adjusted Rand Index (ARI); silhouette score; region-prediction accuracy (classifier predicting Morocco vs Indonesia from motif embedding); variance explained by region vs period (ANOVA); OCR/HTR Character Error Rate (CER); inter-annotator agreement (Cohen's kappa). Experimental setup: stratified 5-fold cross-validation by site (leave-one-site-out to test generalization); train/test splits ensure no object appears in both sets; hyperparameter grid search for margin and embedding dim. Ablation studies: (1) remove ethnographic links and measure drop in region-prediction accuracy and clustering F1; (2) remove TEI text links and measure change in ARI; (3) remove provenance constraints (allow all-to-all linking) and measure variance explained by region. Additional tests: incremental active-learning simulation where models request labels from expert pool until 500 validated annotations are reached; measure performance curve per added batch. Reporting: include attention maps and attribution reports per predicted motif match, and release model checkpoints, seed dataset metadata, and evaluation scripts with exact random seeds.</w:t>
      </w:r>
    </w:p>
    <w:p>
      <w:r>
        <w:t xml:space="preserve"> </w:t>
      </w:r>
    </w:p>
    <w:p>
      <w:pPr>
        <w:pStyle w:val="Heading2"/>
      </w:pPr>
      <w:r>
        <w:t>Risk Factors And Limitations</w:t>
      </w:r>
    </w:p>
    <w:p>
      <w:r>
        <w:t>Technical failure modes: OCR/HTR may fail on damaged or highly stylized hands, producing high CER that undermines text linkage; motif segmentation models may overfit to pilot sites and not generalize. Data biases: uneven sampling across materials, patronage classes, or urban versus peripheral sites can bias motif clusters toward well-documented contexts. Scalability: metric-learning and joint embedding training may require GPUs and growing annotated datasets; compute limits could constrain retraining cadence. Explainability limits: attention maps and attribution methods may highlight correlated pixels or words without providing causal cultural interpretations. Ethical/legal constraints: rights and consent restrictions may prevent full public release of some items, reducing statistical power. Governance/versioning risks: updating crosswalks or ontologies (Getty AAT, Iconclass) may break past analyses unless strict versioned URIs and archival snapshots are maintained. Generalization limits: findings comparing Morocco and Indonesia may not extend to other regions or periods due to distinct transmission histories and local practices.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