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thermalscapes_informal_shading_cuiaba</w:t>
      </w:r>
    </w:p>
    <w:p>
      <w:r>
        <w:t xml:space="preserve"> </w:t>
      </w:r>
    </w:p>
    <w:p>
      <w:pPr>
        <w:pStyle w:val="Heading2"/>
      </w:pPr>
      <w:r>
        <w:t>Title</w:t>
      </w:r>
    </w:p>
    <w:p>
      <w:r>
        <w:t>Ethnography and participatory biosensing analysis of informal shading effects on thermal comfort in urban retail canyons</w:t>
      </w:r>
    </w:p>
    <w:p>
      <w:r>
        <w:t xml:space="preserve"> </w:t>
      </w:r>
    </w:p>
    <w:p>
      <w:pPr>
        <w:pStyle w:val="Heading2"/>
      </w:pPr>
      <w:r>
        <w:t>Short Hypothesis</w:t>
      </w:r>
    </w:p>
    <w:p>
      <w:r>
        <w:t>Deployment of informal shading devices in an urban retail canyon causes a measurable decrease in pedestrian-level mean radiant temperature (MRT) and physiologically equivalent temperature (PET) compared to a morphologically matched unshaded canyon, holding meteorological conditions constant.</w:t>
      </w:r>
    </w:p>
    <w:p>
      <w:r>
        <w:t xml:space="preserve"> </w:t>
      </w:r>
    </w:p>
    <w:p>
      <w:pPr>
        <w:pStyle w:val="Heading2"/>
      </w:pPr>
      <w:r>
        <w:t>Related Work</w:t>
      </w:r>
    </w:p>
    <w:p>
      <w:r>
        <w:t>Existing work on urban thermalscapes and thermal comfort includes: (1) physics-based models and simulations that estimate shading and radiation effects (tools such as SOLWEIG/RayMan) but often assume idealized geometries and fixed material properties; (2) observational microclimate studies that measure air temperature and surface temperatures but typically lack dense radiative measurements needed for accurate MRT (MRT is the combined radiant heating from sun, sky and surfaces, measured as a single temperature); (3) research on formal shading (permanent awnings, trees) showing cooling benefits but with limited focus on informal/vendor-installed devices; (4) participatory sensing and wearable biosensing studies that collect human thermal perception data but rarely synchronize precisely with high-resolution environmental sensors or include ethnographic governance variables. Limitations: many studies rely on coarse spatial sampling or models that do not capture fine-scale canyon heterogeneity; lack of paired shaded/unshaded field experiments limits causal claims; poor temporal alignment between social data (diaries, photos) and sensors reduces interpretability; and social/governance factors (who owns or controls shade) are rarely encoded as moderators, leaving equity and adoption dynamics under-studied.</w:t>
      </w:r>
    </w:p>
    <w:p>
      <w:r>
        <w:t xml:space="preserve"> </w:t>
      </w:r>
    </w:p>
    <w:p>
      <w:pPr>
        <w:pStyle w:val="Heading2"/>
      </w:pPr>
      <w:r>
        <w:t>Abstract</w:t>
      </w:r>
    </w:p>
    <w:p>
      <w:r>
        <w:t>This study measures how informal shading practices influence pedestrian thermal comfort and the sensory atmosphere in a hot city centre through an integrated mixed-methods pilot. We combine ethnographic observation, participatory biosensing (wearable physiological measures and perception surveys), dense environmental instrumentation (fixed meteorological nodes, radiative stations, contact surface sensors, mobile transects, and UAV/IR), and 3D morphology from LiDAR/SfM. The main contribution is a synchronized dataset and pre-registered analysis that link social governance variables of shade (ownership, maintenance, control) with physically measured outcomes: mean radiant temperature (MRT), physiologically equivalent temperature (PET), and surface temperatures. We apply paired causal designs (matched shaded/unshaded canyons), difference-in-differences and hierarchical mixed-effects models, and Bayesian sensitivity checks to estimate cooling per shaded area and a combined Cooling–Social Benefit Index (CSBI). Expected outcomes are quantifiable ΔMRT/ΔPET attributable to informal shading, uncertainty-aware CSBI maps, and ethnographic dossiers that explain variability in adoption and access, informing equitable urban heat mitigation strategies.</w:t>
      </w:r>
    </w:p>
    <w:p>
      <w:r>
        <w:t xml:space="preserve"> </w:t>
      </w:r>
    </w:p>
    <w:p>
      <w:pPr>
        <w:pStyle w:val="Heading2"/>
      </w:pPr>
      <w:r>
        <w:t>Experiments</w:t>
      </w:r>
    </w:p>
    <w:p>
      <w:r>
        <w:t>Datasets: (1) Field pilot in Cuiabá: 8 canyon segments arranged as 4 shaded/unshaded matched pairs. Sensors: 10–14 fixed meteorological nodes (aspirated T/RH, 50 mm black globe), 3 radiative stations (global/diffuse pyranometers ± net radiometer), ~30 contact surface sensors (thermocouples/iButtons), 1 mobile transect kit (fast-response sensors + handheld thermal camera), UAV-mounted calibrated thermal camera, LiDAR/SfM 3D scans, and participatory datasets (timestamped shadow diaries, photovoice, participatory maps, short thermal surveys, and wearable biosensing: skin temperature and heart rate). Baselines: (A) Matched unshaded canyons (field baseline), (B) radiative model counterfactuals with informal shading digitally removed (SOLWEIG/RayMan), (C) pre-deployment period if installation/removal events occur. Evaluation metrics: ΔMRT (°C), ΔPET (°C), Δsurface temperature (°C), cooling per shaded m2 (°C/m2), duration-weighted cooling (°C·h), RMSE between IR and contact sensors (°C), CSBI (unitless composite with uncertainty), and social metrics (perceived comfort change, maintenance-hours/month, equity index). Experimental setup: synchronize all devices and smartphone app to UTC via GPS/NTP; fixed nodes log at 1–5 min; mobile transects repeated pre-dawn, solar noon, 14:00–16:00, early evening; UAV/IR flights on clear-sky windows (pre-dawn, noon, late afternoon) with blackbody calibration. QA: pre/post calibration certificates, 24–48 h intercomparison at a reference station, automated range and rate-of-change checks, daily clock and battery checks. Statistical analyses: primary estimand: paired difference-in-differences (DiD) of ΔMRT/ΔPET between shaded and matched unshaded canyons, modelled as MRT_ijt = β0 + β1 ShadeMetric_ijt + β2 SVF_i + β3 Albedo_i + β4 Wind_ijt + β5 TimeOfDay_t + u_site_i + v_day_j + ε_ijt (hierarchical mixed-effects model; SVF = sky-view factor, a measure of visible sky). Sensitivity analyses: interrupted time series (ITS) for installation/removal events, Bayesian structural time-series (BSTS) for probabilistic attribution, and propensity-score balancing where matches are imperfect. Ablation studies: (i) remove radiative stations to assess MRT estimation bias (compare MRT from full radiative input vs meteorology-only estimators); (ii) drop governance variables (OwnerType, MaintenanceFrequency, ControlDegree) to quantify social-variable contribution to variance explained; (iii) test sensor density: full vs 20% reduced sensor set to measure power loss for detecting ΔMRT per shaded m2. Statistical tests: report effect sizes with 95% confidence intervals and 90% credible intervals for Bayesian models; use permutation tests for small-sample inference and report standardized mean differences for balance diagnostics. Reproducibility: containerized analysis notebooks, versioned data (Git + DVC), and pre-registered analysis plan.</w:t>
      </w:r>
    </w:p>
    <w:p>
      <w:r>
        <w:t xml:space="preserve"> </w:t>
      </w:r>
    </w:p>
    <w:p>
      <w:pPr>
        <w:pStyle w:val="Heading2"/>
      </w:pPr>
      <w:r>
        <w:t>Risk Factors And Limitations</w:t>
      </w:r>
    </w:p>
    <w:p>
      <w:r>
        <w:t>Technical failures: sensor malfunctions, aspiration fan failure, calibration drift, data loss from connectivity outages, and canceled UAV flights due to weather; these can reduce sample size and spatial coverage. Temporal/weather limits: large weather variability or extended cloudy periods reduce ability to observe clear-sky radiative contrasts and reduce power for ΔMRT estimates. Sample size and generalization: eight canyon sites and short pilot duration may limit statistical power and external validity to other cities or seasons. Measurement biases: MRT and PET estimation depend on accurate radiative measurements and surface emissivity/albedo; errors in emissivity estimation bias MRT. Social and selection biases: vendor nonparticipation or selective biosensor uptake can skew social metrics and equity measures. Privacy constraints: spatial masking and aggregation reduce spatial precision available in public outputs, limiting reproducibility for external users. Causal identification limits: unobserved confounders (e.g., temporary market events, covert irrigation, transient shade) may bias DiD/ITS estimates; propensity matching and BSTS reduce but do not eliminate this risk. Ethical constraints: consent withdrawal or sensitive data restrictions may reduce usable ethnographic linkage to sensors.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