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spanish_wineries_resilience_rci</w:t>
      </w:r>
    </w:p>
    <w:p>
      <w:r>
        <w:t xml:space="preserve"> </w:t>
      </w:r>
    </w:p>
    <w:p>
      <w:pPr>
        <w:pStyle w:val="Heading2"/>
      </w:pPr>
      <w:r>
        <w:t>Title</w:t>
      </w:r>
    </w:p>
    <w:p>
      <w:r>
        <w:t>Bayesian hierarchical structural equation modeling and OLS analysis of how internal attributes and external shocks shape resilience capacities in Spanish wineries</w:t>
      </w:r>
    </w:p>
    <w:p>
      <w:r>
        <w:t xml:space="preserve"> </w:t>
      </w:r>
    </w:p>
    <w:p>
      <w:pPr>
        <w:pStyle w:val="Heading2"/>
      </w:pPr>
      <w:r>
        <w:t>Short Hypothesis</w:t>
      </w:r>
    </w:p>
    <w:p>
      <w:r>
        <w:t>Higher levels of internal redundancy, innovation adoption, and rural commitment cause a statistically significant increase in measured resilience capacities (robustness, adaptability, transformability) of Spanish wineries after economic, environmental, or social shocks, controlling for size and ownership structure.</w:t>
      </w:r>
    </w:p>
    <w:p>
      <w:r>
        <w:t xml:space="preserve"> </w:t>
      </w:r>
    </w:p>
    <w:p>
      <w:pPr>
        <w:pStyle w:val="Heading2"/>
      </w:pPr>
      <w:r>
        <w:t>Related Work</w:t>
      </w:r>
    </w:p>
    <w:p>
      <w:r>
        <w:t>Prior work operationalizes resilience using latent factors or composite indices and applies econometric or machine‑learning tools and remote sensing to measure exposure. Approaches include ordinary least squares (OLS) and structural equation models (SEM) for latent capacities, causal methods such as double machine learning (DML) and instrumental variables (IV) for identification, and GIS/remote sensing to construct ecological exposure. Limitations include reliance on cross‑sectional designs or small samples that limit generalization, inconsistent latent‑variable definitions across studies, weak or untested instruments that risk bias, limited integration of qualitative signals into quantitative priors, parcel-to-firm matching errors, and narrow operational indicators that miss on-the-ground practices (e.g., tank redundancy, staff cross-skills). Existing methods rarely combine hierarchical latent modeling, validated exogenous shocks, probabilistic parcel matching, and pre-registered rules for converting qualitative signals into priors.</w:t>
      </w:r>
    </w:p>
    <w:p>
      <w:r>
        <w:t xml:space="preserve"> </w:t>
      </w:r>
    </w:p>
    <w:p>
      <w:pPr>
        <w:pStyle w:val="Heading2"/>
      </w:pPr>
      <w:r>
        <w:t>Abstract</w:t>
      </w:r>
    </w:p>
    <w:p>
      <w:r>
        <w:t>This study analyzes how internal firm attributes (size, ownership, innovation, rural commitment) and external shocks (climate, market, policy) jointly determine resilience capacities—robustness, adaptability, and transformability—in Spanish wineries. We combine a survey of wineries with parcel-level spatial data and shock time series to estimate resilience using both OLS (ordinary least squares) and a Bayesian hierarchical structural equation model (SEM). The approach links measured operational indicators (e.g., tank redundancy, varietal diversity) to latent resilience capacities and tests causal effects using exogenous shock timing as instruments (e.g., drought/frost events, staggered insurance rollouts). Main contributions are: a reproducible pipeline for parcel-to-winery linkage and remote-sensing exposure, a pre-registered rule set for converting qualitative signals into informative priors, and comparative inference across OLS, IV, and Bayesian SEM frameworks. Expected outcome is robust, policy-relevant evidence on which internal attributes most increase resilience and where policy or practice can best strengthen rural agro-industries.</w:t>
      </w:r>
    </w:p>
    <w:p>
      <w:r>
        <w:t xml:space="preserve"> </w:t>
      </w:r>
    </w:p>
    <w:p>
      <w:pPr>
        <w:pStyle w:val="Heading2"/>
      </w:pPr>
      <w:r>
        <w:t>Experiments</w:t>
      </w:r>
    </w:p>
    <w:p>
      <w:r>
        <w:t>Datasets: primary survey of 411 wineries (target 400–600), SIGPAC/cadastral parcel maps, Sentinel-2 and Landsat time series, SPEI and ERA5 climate grids, AEMET station records, regional insurance rollout and policy dates, winery production and financial records where available, and coded qualitative case signals. Baselines: (1) OLS regressions of observed resilience indicators on internal attributes and shock exposure; (2) OLS with interaction terms (attributes × shocks); (3) two-stage least squares (2SLS) IV models using exogenous shock timing as instruments; (4) Bayesian hierarchical SEM without qualitative priors; (5) Bayesian hierarchical SEM with informative qualitative priors. Evaluation metrics: adjusted R2 and out-of-sample RMSE (prediction), ΔLOO and ΔWAIC (predictive model comparison; leave-one-out and Widely Applicable Information Criterion), Bayes factor (evidence ratio between models), first-stage F-statistic (&gt;10 indicates instrument strength), posterior predictive checks (PPCs) for fit, parameter posterior intervals and coverage, and bias estimates from placebo tests. Experimental setup: 1) Preprocess spatial indicators aggregated to parcel and area-weighted winery-year (growing-season window: budburst→harvest); 2) split data into 5 cross-validation folds by DO for out-of-sample checks; 3) run OLS/2SLS and record coefficients, F-stats, and overidentification tests (Hansen J); 4) fit Bayesian hierarchical SEM (latent 5 capacities) with weakly-informative priors, then with informative priors derived from qualitative triggers; 5) ablation studies: (A) remove qualitative priors; (B) remove parcel-match uncertain cases; (C) exclude operational indicators (tank redundancy, varietal share); (D) vary parcel→winery matching method (deterministic vs probabilistic assignment); 6) test lead/lag windows (ecological lag = 1 season, financial lag = up to 2 years); 7) heterogeneity analysis by DO, ownership type, and size strata (≥30 per stratum). Report ΔLOO/ΔWAIC and Bayes factors for models with vs without qualitative priors, and compare effect size stability across ablations.</w:t>
      </w:r>
    </w:p>
    <w:p>
      <w:r>
        <w:t xml:space="preserve"> </w:t>
      </w:r>
    </w:p>
    <w:p>
      <w:pPr>
        <w:pStyle w:val="Heading2"/>
      </w:pPr>
      <w:r>
        <w:t>Risk Factors And Limitations</w:t>
      </w:r>
    </w:p>
    <w:p>
      <w:r>
        <w:t>Weak or invalid instruments (e.g., shock timing not exogenous) leading to biased causal estimates (instrumental variable failure). Measurement error in self-reported survey data and operational indicators causing attenuation bias. Parcel-to-winery matching errors and unmatched parcels creating linkage uncertainty and sample loss. Small stratum sample sizes (fewer than 30) limiting power for subgroup hierarchical estimates. Spatial and temporal misalignment between remote sensing and on-farm records reducing signal quality. Overfitting or poor convergence in complex Bayesian SEM (computational scaling and convergence diagnostics). Qualitative priors may bias posterior if signals are misinterpreted or non-replicable. Survivorship or selection bias if surveyed wineries are not representative (e.g., only resilient firms respond). Limited external validity beyond Spanish DO contexts and potential confounding from unobserved governance or market variables that cannot be instrumented.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