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fruit_voucher_rct_nigeria_vietnam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cluster-randomized controlled trial testing whether fruit vouchers increase fruit affordability and consumption in peri-urban and urban areas of Nigeria and Vietnam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Providing household-targeted fruit vouchers that lower the effective price of fruit causes an increase in household fruit consumption (grams/day) relative to no vouchers.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evaluates cash transfers, food subsidies, and price subsidies using randomized trials and quasi-experimental designs; many studies measure changes in food spending and dietary diversity. Prior work shows subsidies can raise purchases of subsidized foods but often faces limits: (1) weak measurement of actual intake because studies rely on simple frequency measures rather than grams, (2) limited attention to market-level price responses (price pass-through) and vendor behavior, (3) insufficient checks for fraud and poor administrative linkage between voucher systems and survey data, (4) few studies pre-specify mediation analyses to separate income effects from price or behavioral nudges, and (5) sparse evidence from peri-urban/urban settings in low- and middle-income countries. These gaps leave unresolved whether vouchers increase real consumption, whether markets absorb demand shocks by raising prices, and which channels drive observed changes.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digital fruit vouchers increase fruit affordability and household consumption in peri-urban and urban clusters in Nigeria and Vietnam. We conduct a three-arm cluster-randomized controlled trial (control, low-value voucher ≈25% of monthly fruit spend, high-value voucher ≈50%) with stratified and constrained randomization. Primary outcomes are household fruit intake in grams/day measured by multi-pass 24-hour recall calibrated to weighed-food records; secondary outcomes include voucher redemption, market prices, and spillovers to nonrecipients. We combine household survey data, voucher administrative records, and sentinel market price monitoring to estimate intent-to-treat effects and complier effects using instrumental variables. We also decompose total effects into income subsidy, market price pass-through, and behavioral nudging using IV-based sequential mediation and panel price models. Expected contributions: (1) credible causal evidence on whether vouchers increase measured fruit intake, (2) empirical estimates of local price responses to demand-side subsidies, and (3) methodological templates for linking admin voucher data with dietary measurement.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household surveys with multi-pass 24-hour recall at baseline and endline, plus a 7-day purchase-frequency module; (b) weighed-food-record (WFR) calibration subsample 10–15% of households per country and season; (c) voucher administrative logs with voucher code, household ID, value, redemption time, vendor ID, GPS, transaction price/quantity; (d) sentinel market price and stock series (30–40 markets per country) with weekly or monthly frequency; (e) cluster and household GPS and socio-demographic baseline data. Design: cluster RCT with clusters = village/ward/market-catchment, 1:1:1 allocation to control, low-value, high-value; constrained randomization within strata (region, baseline fruit intake tertile, market access); randomization seed = 20260327. Target sample sizes: primary plan 40 clusters/arm × 20 households/cluster (~2400 households); aspirational 60–80 clusters/arm; sentinel markets 30–40. Baselines: control arm and two voucher arms. Baselines for supply-side ablation: (i) vendor float + timely reimbursement enabled vs (ii) no float (operational) in a subset of markets to test supply-side effects. Analyses: Primary ITT estimated by ANCOVA (endline outcome on baseline outcome + treatment dummies) with cluster-robust SEs and strata fixed effects. CACE/LATE using assignment as instrument for redemption; report first-stage F-stat (&gt;10 target). Price pass-through: market×time fixed-effects panel regressions; IV strategy uses randomized assignment intensity or distance-to-treated/density of treated clusters as instruments for local voucher intensity. Mediation: IV-based sequential g-estimation and parametric Imai-style mediation with bootstrap CIs; compare results (ablation) between methods. Evaluation metrics: mean difference in fruit grams/day (primary), standardized effect size, 95% CI, p-values via randomization inference, redemption rate, market price change (absolute and percent), spillover effects for near-neighbor buffers (5 km primary, 10 km secondary), cost per additional gram, and first-stage F-stat and overidentification tests for instruments. Robustness checks: alternative spillover radii, spatial HAC SEs, missing-data MICE imputation vs complete-case, and model selection comparing ANCOVA, mixed-effects longitudinal models, and permutation tests.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mobile-network outages or voucher platform bugs may prevent timely voucher delivery or vendor reimbursement, breaking treatment. Measurement bias: 24-hour recalls rely on respondent memory and may misreport portion sizes despite calibration; WFR calibration subsample may not fully correct bias across seasons. Fraud and leakage: vendors or households could misuse vouchers; automated flags may produce false positives. Identification limits: instruments (distance, assignment intensity) may fail first-stage strength or be correlated with unobserved supply shocks, reducing causal power. Power and sample constraints: inability to enroll target clusters reduces power to detect small effects and spillovers. Market responses: strong price inflation or supply constraints could offset household-level gains, complicating interpretation. Generalization: peri-urban/urban results may not transfer to rural areas or other countries. Data integration and governance: linking admin voucher logs, market data, and survey data requires careful keys; failures in data pipelines will delay analysis. Computational limits: large panel models with spatial lags may require compute resources and specialized software. Ethical and social risk: voucher targeting could create community tensions or stigma in some sites.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