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ageing_workforce_osh_interventions</w:t>
      </w:r>
    </w:p>
    <w:p>
      <w:r>
        <w:t xml:space="preserve"> </w:t>
      </w:r>
    </w:p>
    <w:p>
      <w:pPr>
        <w:pStyle w:val="Heading2"/>
      </w:pPr>
      <w:r>
        <w:t>Title</w:t>
      </w:r>
    </w:p>
    <w:p>
      <w:r>
        <w:t>An exploratory questionnaire-based mapping study of occupational safety and health interventions and their impact on lost-time injury incidence and productivity in an ageing workforce</w:t>
      </w:r>
    </w:p>
    <w:p>
      <w:r>
        <w:t xml:space="preserve"> </w:t>
      </w:r>
    </w:p>
    <w:p>
      <w:pPr>
        <w:pStyle w:val="Heading2"/>
      </w:pPr>
      <w:r>
        <w:t>Short Hypothesis</w:t>
      </w:r>
    </w:p>
    <w:p>
      <w:r>
        <w:t>Provision of tailored workplace OSH interventions (ergonomic package, scheduled micro-breaks, and targeted medical management) causally reduces cluster-level lost-time work-related injury incidence among workers aged 50 and older over 12 months compared with usual practice.</w:t>
      </w:r>
    </w:p>
    <w:p>
      <w:r>
        <w:t xml:space="preserve"> </w:t>
      </w:r>
    </w:p>
    <w:p>
      <w:pPr>
        <w:pStyle w:val="Heading2"/>
      </w:pPr>
      <w:r>
        <w:t>Related Work</w:t>
      </w:r>
    </w:p>
    <w:p>
      <w:r>
        <w:t>Prior work evaluates three broad approaches: ergonomic equipment and task redesign, scheduled micro-breaks/shift optimization, and workplace health screening/coaching. Ergonomic studies often show local reductions in musculoskeletal complaints and transient productivity gains but vary by job and usually use small, single-site samples. Micro-break research demonstrates short-term fatigue and cognitive benefits in lab and field studies but has limited long-term workplace injury or productivity evidence. Medical screening and health coaching can improve clinical risk factors (eg, blood pressure, diabetes) but evidence on workplace injury reduction and productivity is mixed. Wearable sensors have been used to estimate posture and activity but suffer from cross-job calibration gaps and limited validation across sectors. Prior trials often rely on self-report, lack cluster-randomized intent-to-treat analyses (which preserve real-world assignment effects), have short follow-up, and rarely integrate mediation analysis of fidelity or formal economic evaluation. Open issues include age-stratified effects in older workers, validated cross-site wearable indexes, time-varying mediator methods for causal inference, and reliable cost-effectiveness estimates.</w:t>
      </w:r>
    </w:p>
    <w:p>
      <w:r>
        <w:t xml:space="preserve"> </w:t>
      </w:r>
    </w:p>
    <w:p>
      <w:pPr>
        <w:pStyle w:val="Heading2"/>
      </w:pPr>
      <w:r>
        <w:t>Abstract</w:t>
      </w:r>
    </w:p>
    <w:p>
      <w:r>
        <w:t>Older workers face distinct safety and performance risks. This study maps common occupational safety and health (OSH) interventions and tests whether tailored workplace packages reduce lost-time injury rates and affect productivity in workers aged 50+. We will conduct an exploratory, cluster-randomized questionnaire and sensor-linked study across manufacturing, logistics, and healthcare sites. Core interventions are an ergonomic equipment package, scheduled micro-breaks with shift optimization, and targeted medical management/health coaching. Primary outcome is cluster-level lost-time injury incidence over 12 months; secondary outcomes are standardized productivity indices, wearable-derived ergonomic exposure, psychological mediators, and economic return-on-investment. Main contributions are (1) a cross-sector map of interventions and contextual drivers and barriers, (2) integrated causal mediation analysis using multilevel structural models and time-varying methods to quantify pathways from fidelity to outcomes, and (3) a validated, cross-site wearable ergonomic exposure index with a calibration subsample. Expected impact: clear, testable evidence on which interventions and contextual factors change safety and productivity for ageing workers, and guidance for employers on likely health and economic returns.</w:t>
      </w:r>
    </w:p>
    <w:p>
      <w:r>
        <w:t xml:space="preserve"> </w:t>
      </w:r>
    </w:p>
    <w:p>
      <w:pPr>
        <w:pStyle w:val="Heading2"/>
      </w:pPr>
      <w:r>
        <w:t>Experiments</w:t>
      </w:r>
    </w:p>
    <w:p>
      <w:r>
        <w:t>Design: parallel cluster-randomized trial with clusters = work units/sites stratified by sector and baseline injury rate; arms: (A) usual practice (control), (B) ergonomic package, (C) micro-break + shift optimization, (D) targeted medical management/coaching. Sample and simulations: run a simulation grid for cluster sizes m={30,50,70} workers per cluster and ICCs={0.01,0.03,0.05,0.08,0.10}; baseline lost-time injury rates 5–15 per 100 FTE-years; target relative reductions 15% and 25%; alpha=0.05, power=80% to estimate required clusters per arm. Pilot sites: 3–5 pilot clusters across manufacturing, logistics/warehousing, and healthcare. Measurement schedule: baseline, 3, 6, 12 months for surveys and clinical measures; wearable monitoring weeks at baseline and quarterly. Wearable QC: valid shift = ≥75% scheduled shift wear OR ≥6 valid hours and ≥3 valid shifts per monitoring week. Wearable validation: 10–20% cross-site calibration subsample with synchronized video, instrumented force/pressure tasks, and lab-grade IMU comparison. Datasets: administrative HR/safety records (lost-time injuries, person-time), production logs (units/hour, errors), wearable streams (IMU, HR/HRV), questionnaires (UWES-3, Need-for-Recovery short form, Implementation Leadership Scale, Implementation Climate Scale), brief cognitive tasks. Baselines: usual practice arm metrics and pre-intervention measurements per cluster. Evaluation metrics: primary = cluster-level lost-time injury counts per 100 FTE-years (analyzed with negative-binomial mixed-effects GLMM with cluster random intercept and person-time offset); secondary = standardized productivity z-scores (mixed-effects linear model), ergonomic exposure index (continuous), fidelity rates (device-activation %, micro-break compliance %). Mediation and causal analysis: primary ITT; mediation via multilevel structural equation modeling (MSEM) for simultaneous paths; address time-varying mediator confounding with marginal structural models (MSM) using inverse-probability-of-mediator weights and longitudinal g-formula as sensitivity; estimate complier average causal effect (CACE) using randomization as instrument (IV/2SLS) with cluster-aware SEs. Small-cluster inference: run Bayesian MSEM with hierarchical priors. Baseline comparisons/ablations: 1) compare each intervention arm vs control; 2) ablation study within ergonomic arm: full ergonomic package vs ergonomic without assistive handling devices to test device contribution; 3) dose-response ablation: high-fidelity compliers vs low-fidelity within arms. Economic evaluation: trial-based cost collection, compute incremental cost per injury averted and ROI; probabilistic sensitivity analysis (PSA) and value-of-information (VOI) analysis. Missing data: multiple imputation (MAR) and MNAR sensitivity checks. Pre-registration: full SAP with primary estimand (cluster ITT) and pre-specified covariates, random effects, autocorrelation structure, and complier definition (device activation ≥80% AND micro-break ≥75% over ≥50% windows).</w:t>
      </w:r>
    </w:p>
    <w:p>
      <w:r>
        <w:t xml:space="preserve"> </w:t>
      </w:r>
    </w:p>
    <w:p>
      <w:pPr>
        <w:pStyle w:val="Heading2"/>
      </w:pPr>
      <w:r>
        <w:t>Risk Factors And Limitations</w:t>
      </w:r>
    </w:p>
    <w:p>
      <w:r>
        <w:t>Low adherence and contamination: workers may not use devices or breaks as intended, or practices may spread from intervention to control clusters, reducing effect sizes. Low event rates and power: lost-time injury rates may be lower than expected, limiting statistical power despite simulations. Small cluster counts: few clusters increase uncertainty in ICC and mediation estimates and may bias mixed-model estimates. Wearable data failures: device loss, poor wear compliance, sensor drift, or cross-job calibration failure can reduce usable data and invalidate ergonomic index. Measurement invariance: wearable-derived indexes may not be comparable across sectors or age groups (measurement bias). Time-varying confounding: mediator–outcome feedback (eg, prior injury affects later adherence) complicates causal mediation and may limit interpretability. Self-report bias: questionnaires and reported productivity can be biased by recall or social desirability. Generalizability limits: results from selected manufacturing, logistics, and healthcare sites may not apply to other industries, regions, or informal work. Economic uncertainty: ROI estimates depend on local cost structures and may not generalize; probabilistic analyses can quantify but not remove this uncertainty. Regulatory and privacy constraints: data linkage and health information access may be limited by law or employer policy, restricting datasets available for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