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circular_osh_ecosystem_model</w:t>
      </w:r>
    </w:p>
    <w:p>
      <w:r>
        <w:t xml:space="preserve"> </w:t>
      </w:r>
    </w:p>
    <w:p>
      <w:pPr>
        <w:pStyle w:val="Heading2"/>
      </w:pPr>
      <w:r>
        <w:t>Title</w:t>
      </w:r>
    </w:p>
    <w:p>
      <w:r>
        <w:t>Calibrated hybrid system dynamics and agent-based modeling for designing and evaluating occupational safety and health interventions across national contexts</w:t>
      </w:r>
    </w:p>
    <w:p>
      <w:r>
        <w:t xml:space="preserve"> </w:t>
      </w:r>
    </w:p>
    <w:p>
      <w:pPr>
        <w:pStyle w:val="Heading2"/>
      </w:pPr>
      <w:r>
        <w:t>Short Hypothesis</w:t>
      </w:r>
    </w:p>
    <w:p>
      <w:r>
        <w:t>A two-layer hybrid model (system dynamics for population flows and agent-based model for workplace actors), calibrated with cross-nationally harmonized measures and expert-elicited priors, will predict intervention effects on workplace injury incidence more accurately than uncalibrated or single-layer models.</w:t>
      </w:r>
    </w:p>
    <w:p>
      <w:r>
        <w:t xml:space="preserve"> </w:t>
      </w:r>
    </w:p>
    <w:p>
      <w:pPr>
        <w:pStyle w:val="Heading2"/>
      </w:pPr>
      <w:r>
        <w:t>Related Work</w:t>
      </w:r>
    </w:p>
    <w:p>
      <w:r>
        <w:t>Existing approaches to occupational safety and health (OSH) interventions fall into three streams. First, traditional intervention studies treat interventions as isolated actions with endpoint evaluation, lacking explicit multi-actor or feedback dynamics. Second, socio-ecological and implementation science frameworks emphasize multilevel context and actor roles but rarely operationalize these ideas in calibrated dynamic models for prediction. Third, modeling work in public health has applied either system dynamics (SD) to capture aggregate stocks and flows or agent-based models (ABM) to capture heterogeneous behaviors, but rarely integrates both into a calibrated two-layer hybrid and links them to harmonized cross-national measurement. Measurement literature provides rigorous invariance and differential item functioning (DIF) methods to compare scales across groups, yet cross-national OSH studies often lack calibration substudies to produce crosswalks for combining heterogeneous instruments and sensors. Limitations: linear or static framing of interventions, poor cross-country measurement harmonization, limited use of expert-elicited priors to parameterize behavior in models, lack of propagated calibration uncertainty into scenario ensembles, and sparse validation via leave-one-country-out tests for transportability.</w:t>
      </w:r>
    </w:p>
    <w:p>
      <w:r>
        <w:t xml:space="preserve"> </w:t>
      </w:r>
    </w:p>
    <w:p>
      <w:pPr>
        <w:pStyle w:val="Heading2"/>
      </w:pPr>
      <w:r>
        <w:t>Abstract</w:t>
      </w:r>
    </w:p>
    <w:p>
      <w:r>
        <w:t>Problem: Occupational safety and health interventions are shaped by interacting actors, materials, data flows, value dynamics, circular activities, and governance across intervention phases, but current methods treat interventions as isolated actions and lack validated cross-national measurement. Approach: We propose a circular-ecosystem perspective operationalized as a calibrated two-layer hybrid model combining system dynamics (aggregate stocks and flows) and agent-based modeling (individual actors and behaviors). Key steps: harmonize measures with calibration substudies per country, resolve measurement noninvariance with Bayesian IRT linking (producing crosswalks and posterior draws), elicit expert priors via Delphi, and integrate posterior uncertainty into Monte Carlo scenario ensembles. Contribution: The method links multi-actor, policy, and data elements to intervention phases and propagates measurement and parameter uncertainty into predictive intervention scenarios. Expected outcome: improved out-of-sample prediction of intervention effects on injury and absence rates, explicit identification of policy levers across contexts, and a reproducible pipeline for cross-national OSH intervention design and evaluation.</w:t>
      </w:r>
    </w:p>
    <w:p>
      <w:r>
        <w:t xml:space="preserve"> </w:t>
      </w:r>
    </w:p>
    <w:p>
      <w:pPr>
        <w:pStyle w:val="Heading2"/>
      </w:pPr>
      <w:r>
        <w:t>Experiments</w:t>
      </w:r>
    </w:p>
    <w:p>
      <w:r>
        <w:t>Datasets: Three pilot countries selected to contrast governance and informality (one high-resource OSH system, one middle-income SME-dominated, one high-informality); per country calibration substudy n=300-500 stratified by region, sector (high-risk vs other), firm size (SME vs large), and language; clinical/function subset n≈100; sensor subpanel n≈150 with wearable posture/acceleration and personal noise dosimetry; sentinel cohort 3,000-5,000 workers per country with baseline and longitudinal follow-up (quarterly year 1, semiannual thereafter). Baselines: (A) uncalibrated hybrid SD+ABM using raw measures; (B) SD-only calibrated model; (C) ABM-only calibrated model; (D) conventional non-ecosystem intervention evaluation (pre-post or clustered trial estimates without dynamic modeling). Evaluation metrics: predictive accuracy of intervention effect on injury incidence (RMSE and mean absolute error between predicted and observed incidence rates per 1,000 worker-years); calibration error of crosswalks (posterior predictive checks, coverage of credible intervals); DIF prevalence and invariance fit indices (ΔCFI and ΔRMSEA thresholds); implementation outcomes (reach, fidelity, acceptability measured with harmonized scales); model transportability (leave-one-country-out predictive RMSE); policy leverage sensitivity (change in incidence per unit change in inspection intensity, subsidy, or formalization incentive). Experimental setup: 1) Run measurement invariance testing for each scale (configural → metric → scalar) using thresholds ΔCFI ≤0.01 and ΔRMSEA ≤0.015; screen DIF with IRT and logistic regression criteria (p&lt;0.01 and effect size McFadden ΔR2&gt;0.035). 2) Build Bayesian hierarchical IRT linking models to produce crosswalk posterior draws; archive full posterior samples. 3) Construct hybrid SD+ABM: SD layer models workforce health-state stocks and aggregate flows; ABM layer models firms, supervisors, and workers with behavior rules derived from Delphi priors and qualitative CMO inputs. 4) Calibrate hybrid model using posterior draws from crosswalks and calibration substudy data; perform Bayesian updating. 5) Run Monte Carlo scenario ensembles propagating crosswalk and parameter uncertainty; evaluate predictive accuracy on sentinel cohort and administrative linkages. Ablation studies: remove calibration crosswalks, remove ABM layer, and remove policy moderators to compare predictive accuracy. Cross-validation: leave-one-country-out for transportability. Statistical tests: paired bootstrap comparison of RMSE across models and permutation tests for differences in predictive coverage.</w:t>
      </w:r>
    </w:p>
    <w:p>
      <w:r>
        <w:t xml:space="preserve"> </w:t>
      </w:r>
    </w:p>
    <w:p>
      <w:pPr>
        <w:pStyle w:val="Heading2"/>
      </w:pPr>
      <w:r>
        <w:t>Risk Factors And Limitations</w:t>
      </w:r>
    </w:p>
    <w:p>
      <w:r>
        <w:t>High DIF or widespread noninvariance may prevent valid cross-national linking and reduce comparability. Calibration substudy sample sizes may be insufficient in language or sector strata, producing unstable crosswalks. Administrative data linkage may be blocked by legal/privacy constraints, limiting outcome validation. Expert priors (Delphi) may reflect consensus bias and not match observed behavior, harming calibration. Hybrid model complexity and Monte Carlo ensembles may be computationally expensive, limiting ensemble size and sensitivity analysis. Overfitting risk if regularization and leave-one-country-out validation are not strictly applied, reducing transportability. Results may not generalize to countries or sectors not represented in pilots, especially highly informal contexts with different reporting behaviors. Measurement error in sensors (device heterogeneity) can introduce bias if calibration protocols fail or are not followed uniformly.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