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ai_women_tourism_inclusivity</w:t>
      </w:r>
    </w:p>
    <w:p>
      <w:r>
        <w:t xml:space="preserve"> </w:t>
      </w:r>
    </w:p>
    <w:p>
      <w:pPr>
        <w:pStyle w:val="Heading2"/>
      </w:pPr>
      <w:r>
        <w:t>Title</w:t>
      </w:r>
    </w:p>
    <w:p>
      <w:r>
        <w:t>A stepped-wedge cluster randomized evaluation of privacy-preserving AI modules to improve inclusivity for women entrepreneurship in tourism</w:t>
      </w:r>
    </w:p>
    <w:p>
      <w:r>
        <w:t xml:space="preserve"> </w:t>
      </w:r>
    </w:p>
    <w:p>
      <w:pPr>
        <w:pStyle w:val="Heading2"/>
      </w:pPr>
      <w:r>
        <w:t>Short Hypothesis</w:t>
      </w:r>
    </w:p>
    <w:p>
      <w:r>
        <w:t>Responsible AI modules (discovery, matchmaking, advisory) deployed with community governance will increase bookings for participating women-led tourism enterprises by at least 15% relative to control while keeping exposure-parity gaps under 10% across prioritized intersectional slices.</w:t>
      </w:r>
    </w:p>
    <w:p>
      <w:r>
        <w:t xml:space="preserve"> </w:t>
      </w:r>
    </w:p>
    <w:p>
      <w:pPr>
        <w:pStyle w:val="Heading2"/>
      </w:pPr>
      <w:r>
        <w:t>Related Work</w:t>
      </w:r>
    </w:p>
    <w:p>
      <w:r>
        <w:t>Work on AI for tourism and small-business discovery focuses on search and recommender systems to increase visibility and bookings, typically using centralized retrieval (TF-IDF, neural embeddings) and ranking models. Fairness research in recommender systems proposes exposure and allocation constraints, group parity, and counterfactual audits, but most methods are evaluated on large, well-instrumented platforms and aggregate groups rather than intersectional slices. Privacy-preserving ML (federated learning, differential privacy) shows promise for decentralized data use but often reduces model utility and is rarely field-tested in low-connectivity, multilingual informal sectors. Mixed-methods and development studies examine digital barriers for women entrepreneurs, yet few integrate rigorous causal designs (cluster RCTs) with operational privacy controls and community governance. Limitations across prior work include limited intersectional analysis, few real-world randomized or stepped-wedge trials in low-resource settings, lack of integrated exposure controls with consented governance, sparse evaluation of offline-first UX, and incomplete study of privacy-utility trade-offs in small-sample field deployments.</w:t>
      </w:r>
    </w:p>
    <w:p>
      <w:r>
        <w:t xml:space="preserve"> </w:t>
      </w:r>
    </w:p>
    <w:p>
      <w:pPr>
        <w:pStyle w:val="Heading2"/>
      </w:pPr>
      <w:r>
        <w:t>Abstract</w:t>
      </w:r>
    </w:p>
    <w:p>
      <w:r>
        <w:t>We test whether responsibly designed AI can reduce barriers to inclusivity for women entrepreneurs in tourism. The study deploys three AI modules—discovery (helping customers find businesses), matchmaking (connecting entrepreneurs to mentors and partners), and advisory (actionable business guidance)—within a stepped-wedge cluster randomized trial across diverse pilot contexts (coastal informal lodging, rural eco-lodges, urban cultural micro-experiences, community homestays). Privacy-preserving techniques (federated learning for partner logs, differential privacy for aggregates, and geo-anonymization) are embedded and controlled. The main contribution is an integrated, field-ready pipeline that combines causal impact estimation, intersectional fairness monitoring (exposure parity and representational gap), and community governance for consent and exposure controls. We use quantitative business outcomes (bookings, revenue), intersectional fairness metrics, and qualitative measures of trust and agency. Expected outcome: reproducible evidence on whether responsible AI increases economic opportunity for women-led tourism micro-enterprises without worsening exposure inequities, and practical guidance on privacy-utility trade-offs and deployment parameters for low-resource settings.</w:t>
      </w:r>
    </w:p>
    <w:p>
      <w:r>
        <w:t xml:space="preserve"> </w:t>
      </w:r>
    </w:p>
    <w:p>
      <w:pPr>
        <w:pStyle w:val="Heading2"/>
      </w:pPr>
      <w:r>
        <w:t>Experiments</w:t>
      </w:r>
    </w:p>
    <w:p>
      <w:r>
        <w:t>Datasets: (1) anonymized partner booking and visibility logs (transaction timestamps, impressions, conversions), (2) entrepreneur profiles and business descriptors (multilingual fields, consent flags), (3) mentor/partner registries and match logs, (4) coded qualitative interview and focus-group transcripts, (5) synthetic stress-test datasets for rare intersectional slices. Baselines: (A) no-AI control (curated default visibility only), (B) TF-IDF retrieval + LightGBM ranker, (C) SBERT/XLM-R embedding retrieval + LightGBM ranker without fairness constraints. Proposed system: two-stage retrieval (multilingual embeddings) + fairness-aware constrained ranker; bipartite matchmaking optimizer; retrieval-augmented advisory module. Evaluation metrics: Primary: bookings per period, revenue per period, conversion rate (bookings/impressions). Fairness metrics: exposure parity by intersectional slice (difference in exposure rates), exposure-weighted utility (exposure × conversion), representational gap (impressions share vs baseline population share), equal opportunity/equalized odds for binary outcomes (mentor selection), calibration error and ranking stability by slice, drift/adverse-impact counts. UX/qualitative metrics: perceived trust, perceived fairness, adoption willingness, pro-WEAI adapted empowerment composite (explained as a combined score of agency and access). Experimental setup: stepped-wedge cluster RCT with 8–12 clusters per context, 6–8 rollout steps, cluster size 8–20 enterprises; pre-registration of primary outcomes and analysis plan. Statistical models: hierarchical Bayesian mixed models for treatment effects and slice-specific estimates (borrowing strength across slices); design-based weights for oversampling. Power assumptions: ICC range 0.05–0.15; target MDE ~15–20% relative bookings uplift. Comparisons/ablations: (1) module ablation: discovery-only vs matchmaking-only vs advisory-only vs all modules; (2) fairness constraint ablation: unconstrained ranker vs constrained exposure-aware ranker; (3) privacy ablation: centralized training vs federated learning; (4) DP epsilon sweep: epsilons = {0.1, 0.5, 1, 2, 4} for aggregates; (5) geo-anonymization sweep: k-anonymity k = {5,10,20} and geo-noise radii = {1km,3km,5km}. Human-in-the-loop triggers: route outputs for manual review when model confidence &lt;65–70% or when exposure-parity gap &gt;10% for any prioritized slice. Analysis: intent-to-treat and per-protocol estimates, subgroup and interaction tests for nested factorial arms, and posterior intervals for slice-level effects.</w:t>
      </w:r>
    </w:p>
    <w:p>
      <w:r>
        <w:t xml:space="preserve"> </w:t>
      </w:r>
    </w:p>
    <w:p>
      <w:pPr>
        <w:pStyle w:val="Heading2"/>
      </w:pPr>
      <w:r>
        <w:t>Risk Factors And Limitations</w:t>
      </w:r>
    </w:p>
    <w:p>
      <w:r>
        <w:t>Small sample sizes in many intersectional slices will limit statistical power and precision for slice-level causal estimates. Seasonality and external shocks (weather, tourism cycles, pandemics) can confound booking outcomes and reduce internal validity. Differential privacy and federated learning can reduce model accuracy and worsen ranking utility, especially with sparse logs. Partner data heterogeneity, missingness, and labeling errors will bias estimates and fairness metrics. Re-identification risk remains for location and profile data despite geo-anonymization, especially in small communities. Human-in-the-loop review can create delays and inconsistent decisions across regions. Offline and low-connectivity constraints limit model update frequency and real-time features. Findings may not generalize beyond the selected pilot contexts, languages, or platform partnerships. Compute and engineering limits on-device or at partner sites may restrict model complexity and personalization.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