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altruistic_gender_norms_thailand</w:t>
      </w:r>
    </w:p>
    <w:p>
      <w:r>
        <w:t xml:space="preserve"> </w:t>
      </w:r>
    </w:p>
    <w:p>
      <w:pPr>
        <w:pStyle w:val="Heading2"/>
      </w:pPr>
      <w:r>
        <w:t>Title</w:t>
      </w:r>
    </w:p>
    <w:p>
      <w:r>
        <w:t>Cluster-randomized mixed-methods study testing whether gendered social norms about altruism causally affect unpaid elderly care provision in Thailand</w:t>
      </w:r>
    </w:p>
    <w:p>
      <w:r>
        <w:t xml:space="preserve"> </w:t>
      </w:r>
    </w:p>
    <w:p>
      <w:pPr>
        <w:pStyle w:val="Heading2"/>
      </w:pPr>
      <w:r>
        <w:t>Short Hypothesis</w:t>
      </w:r>
    </w:p>
    <w:p>
      <w:r>
        <w:t>Increasing community-level salience of gender-neutral injunctive norms causes an increase in individuals' weekly unpaid eldercare hours by raising their internalized altruistic identity.</w:t>
      </w:r>
    </w:p>
    <w:p>
      <w:r>
        <w:t xml:space="preserve"> </w:t>
      </w:r>
    </w:p>
    <w:p>
      <w:pPr>
        <w:pStyle w:val="Heading2"/>
      </w:pPr>
      <w:r>
        <w:t>Related Work</w:t>
      </w:r>
    </w:p>
    <w:p>
      <w:r>
        <w:t>Existing work links gender norms to unequal unpaid care, uses time-use surveys, and applies vignette and experimental tasks to measure altruism. Prior approaches include observational studies of family care, small-scale lab or framed games for social preferences, and descriptive surveys of norms. Limitations: many studies are cross-sectional and cannot establish causality; experimental work often lacks cultural adaptation (for example, local moral frames like merit-making are not used); measurement of norms and altruistic identity is rarely validated across languages or groups; behavioral task results are seldom triangulated with real care-time data; and spillover and community-level effects are poorly addressed. These gaps leave unresolved whether injunctive norms (what people think should be done) versus descriptive norms (what people actually do) drive unpaid eldercare, and whether internalized identity mediates that relationship in non-Western contexts.</w:t>
      </w:r>
    </w:p>
    <w:p>
      <w:r>
        <w:t xml:space="preserve"> </w:t>
      </w:r>
    </w:p>
    <w:p>
      <w:pPr>
        <w:pStyle w:val="Heading2"/>
      </w:pPr>
      <w:r>
        <w:t>Abstract</w:t>
      </w:r>
    </w:p>
    <w:p>
      <w:r>
        <w:t>We study whether social gender norms about altruistic behavior shape unpaid care for older adults in Thailand. We combine community-level cluster randomization of norm-information nudges with individual-level randomized vignettes and incentivized behavioral tasks, plus ethnographic life histories and administrative variation (e.g., migration shocks) for quasi-experimental leverage. We develop and validate culturally adapted scales for injunctive norms, descriptive norms, and altruistic identity, and triangulate care intensity using a short 7-day time-use diary, behavioral revealed-preference tasks, and objective proxies on a subsample. The main contribution is causal evidence on the pathway: norms → internalized altruistic identity → unpaid care, measured with psychometrically validated instruments and incentive-compatible tasks. Expected outcomes include estimates of intent-to-treat and local average treatment effects, validated measurement batteries, and policy-relevant insights on whether norm-based interventions can shift who provides eldercare. Results will inform culturally appropriate policies to support equitable caregiving burden.</w:t>
      </w:r>
    </w:p>
    <w:p>
      <w:r>
        <w:t xml:space="preserve"> </w:t>
      </w:r>
    </w:p>
    <w:p>
      <w:pPr>
        <w:pStyle w:val="Heading2"/>
      </w:pPr>
      <w:r>
        <w:t>Experiments</w:t>
      </w:r>
    </w:p>
    <w:p>
      <w:r>
        <w:t>Datasets: pilot field data in Chiang Mai (rural) and Bangkok (urban) with 40 clusters × ~15 households (~600 households); full trial planned ~160 clusters × ~20 households (~3,200 households). Administrative linkage to health and migration registers where consent and approvals permit. Baselines: control clusters receive no norm-information nudge and individuals receive neutral vignettes; alternative baselines include gender-traditional framing and no-behavioral-task arms. Evaluation metrics: primary—weekly unpaid eldercare hours (7-day diary aggregated), binary caregiver status; secondary—labor hours lost, depressive symptoms (short scale), behavioral-task transfers (THB), and objective proxies (clinic attendance logs, travel receipts). Experimental setup: two-stage randomized design. Stage 1 (cluster-level): randomize clusters to norm-information nudge (gender-neutral injunctive framing) or control. Stage 2 (individual-level): within clusters randomize vignette attributes (caregiver/recipient gender, kinship, cultural frame: Buddhist merit-making vs neutral) and assign incentivized behavioral tasks (framed dictator, caregiving-choice, optional trust game). Sample allocations: behavioral-task subsample n≈800; objective-proxy subsample n≈400; panel subset n≈1,000 for longitudinal checks. Analysis methods: estimate ITT with multilevel linear models clustering at cluster level; obtain LATE via 2SLS using assignment as instrument for measured altruistic identity (first-stage F&gt;10 target); test mediation with multilevel structural equation models (SEM) and causal mediation (Imai-style). Psychometrics: confirmatory factor analysis (CFA) to build latent measures for injunctive/descriptive norms and altruistic identity; test metric and scalar invariance across gender, region, and urban/rural groups. Ablations and comparisons: (A) remove Buddhist framing to test cultural-frame effect; (B) compare vignette-only vs vignette+behavioral tasks to assess added validation; (C) vary recipient gender and kinship to measure heterogeneous responses. Pre-registered checks: balance tests, randomization seed reproducibility, first-stage strength, spatial contamination diagnostics, and power updates using pilot ICCs.</w:t>
      </w:r>
    </w:p>
    <w:p>
      <w:r>
        <w:t xml:space="preserve"> </w:t>
      </w:r>
    </w:p>
    <w:p>
      <w:pPr>
        <w:pStyle w:val="Heading2"/>
      </w:pPr>
      <w:r>
        <w:t>Risk Factors And Limitations</w:t>
      </w:r>
    </w:p>
    <w:p>
      <w:r>
        <w:t>Administrative linkage delay: MOUs and approvals may be slow, limiting quasi-experimental variation. Measurement invariance failure: scales may not be comparable across dialects or groups, reducing interpretability. Social desirability bias: self-reports of care and norms may be biased despite behavioral tasks. Spillovers and contamination: neighbor clusters, temple catchments, or media exposure may blur treatment contrast. Attrition and panel loss: caregivers are time-constrained, causing dropouts and sample bias. Incentive calibration risk: payments (100–300 THB) may be coercive for some low-income participants or insufficiently motivating in others. Ecological validity: behavioral tasks (games) may not fully represent real caregiving trade-offs. Statistical power limits: higher-than-expected ICCs reduce detectable effect sizes. External validity: results will be context-specific to Thailand and may not generalize to other cultures. Ethical constraints: identifying distressed caregivers raises referral needs and possible reporting obligations.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