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Estimating the causal effect of trade agreements and fisheries-related provisions on marine mean trophic level using difference-in-differences combined with propensity score matching</w:t>
      </w:r>
    </w:p>
    <w:p>
      <w:r>
        <w:t xml:space="preserve"> </w:t>
      </w:r>
    </w:p>
    <w:p>
      <w:pPr>
        <w:pStyle w:val="Heading2"/>
      </w:pPr>
      <w:r>
        <w:t>Short Hypothesis</w:t>
      </w:r>
    </w:p>
    <w:p>
      <w:r>
        <w:t>Signing a free trade agreement that includes fisheries-related provisions causes a measurable change in mean trophic level (MTL) of linked marine stocks within five years after the treaty's effective date, relative to comparable non-signatory controls.</w:t>
      </w:r>
    </w:p>
    <w:p>
      <w:r>
        <w:t xml:space="preserve"> </w:t>
      </w:r>
    </w:p>
    <w:p>
      <w:pPr>
        <w:pStyle w:val="Heading2"/>
      </w:pPr>
      <w:r>
        <w:t>Related Work</w:t>
      </w:r>
    </w:p>
    <w:p>
      <w:r>
        <w:t>Prior work linking trade policy to fisheries sustainability generally falls into three camps: descriptive studies showing correlations between trade flows and catch composition; econometric analyses using panel regressions or simple difference-in-differences (DiD) to estimate policy impacts; and bioeconomic or simulation models that map policy levers to effort and stock outcomes. Limitations common to existing approaches include: (1) coarse policy indicators that treat all trade agreements equally rather than clause-level provision coding; (2) failure to account for selection bias when countries self-select into agreements (leading to endogeneity); (3) weak linking between trade HS codes and biological stocks, creating measurement error; (4) limited handling of staggered adoption timing, spillovers, and anticipatory effects in DiD designs; and (5) separation of IUU detection models from causal impact estimation. These gaps mean prior estimates may be biased, imprecise, or not traceable to specific treaty clauses.</w:t>
      </w:r>
    </w:p>
    <w:p>
      <w:r>
        <w:t xml:space="preserve"> </w:t>
      </w:r>
    </w:p>
    <w:p>
      <w:pPr>
        <w:pStyle w:val="Heading2"/>
      </w:pPr>
      <w:r>
        <w:t>Abstract</w:t>
      </w:r>
    </w:p>
    <w:p>
      <w:r>
        <w:t>This study tests whether signing free trade agreements (FTAs), and FTAs that contain fisheries-specific provisions, causally affect marine fisheries sustainability measured by mean trophic level (MTL). We combine a global MTL time series (1950–2018) with a clause-coded dataset of trade agreements (1947–2018) and panel data on trade, effort, and stock assessments. The identification strategy pairs propensity score matching (PSM) to build comparable treated and control sets with staggered difference-in-differences (DiD) estimators to estimate treatment effects while addressing selection bias and timing heterogeneity. We operationalize treaty clauses as numeric indices (tariff changes, ROO leniency, subsidy flags, eCDS interoperability) time-stamped to effective dates, and map HS codes to species probabilistically with uncertainty propagation. The main contribution is a reproducible, auditable pipeline that links clause-level trade policy to biologically meaningful outcomes and reports sensitivity to mapping uncertainty, climate multipliers, and DiD estimator choice. Expected outcome: credible, clause-level estimates of trade-policy impacts on MTL to inform negotiators and conservation policy.</w:t>
      </w:r>
    </w:p>
    <w:p>
      <w:r>
        <w:t xml:space="preserve"> </w:t>
      </w:r>
    </w:p>
    <w:p>
      <w:pPr>
        <w:pStyle w:val="Heading2"/>
      </w:pPr>
      <w:r>
        <w:t>Experiments</w:t>
      </w:r>
    </w:p>
    <w:p>
      <w:r>
        <w:t>Datasets: (1) Global Mean Trophic Level (MTL) panel, 1950–2018 by FAO area and country; (2) clause-coded trade agreement dataset 1947–2018 with effective_date and numeric provision indices; (3) UN Comtrade trade flows by HS_code; (4) RAM/ICES stock assessments (B/Bmsy, F/Fmsy) for sentinel stocks; (5) GFW AIS/VMS-derived effort_days; (6) WTO/OECD subsidy records. Treatment definitions: (A) signing any FTA (binary) at effective_date; (B) signing FTA with fisheries-related provision (binary); (C) continuous treatment intensity via tariff_change_pct or eCDS_interop_index. Baselines: (i) naive DiD without matching; (ii) DiD with covariate adjustment; (iii) PSM only; (iv) PSM followed by DiD (primary); (v) synthetic control for single-corridor case studies. Estimators and variance: Callaway &amp; Sant’Anna and Sun &amp; Abraham staggered DiD estimators, event-study graphs, clustered standard errors at country-pair or stock level. Matching covariates: pre-treatment MTL and trend, trade_volume_by_HS, GDP per capita, subsidy exposure, fishing effort_days, governance indicators. HS-to-species mapping: probabilistic mapping threshold 0.70 (assign), 0.40–0.70 (hierarchical rules), &lt;0.40 (low-confidence flag). Evaluation metrics: Average Treatment Effect on the Treated (ATT) for MTL (∆MTL), p-values for pre-trend tests, standardized mean differences for covariate balance, RMSE of synthetic-control pre-fit, 95% confidence intervals from bootstrap. Ablations: (1) remove PSM (compare ATT to assess bias); (2) vary HS mapping threshold (0.7 vs 0.5) and compare ATT variability; (3) include/exclude climate multiplier adjustment in outcome; (4) alternative outcome using B/Bmsy for sentinel stocks. Robustness checks: placebo interventions in pre-treatment windows, spatial spillover tests using neighboring EEZ indicators, and IV regression where exogenous negotiation timing or third-country tariff shocks apply. Pre-registration: specify lead/lag windows (leads up to 3 years, lags up to 5 years), placebo windows, and power calculations using sentinel-stock variance to target minimum detectable effect on MTL.</w:t>
      </w:r>
    </w:p>
    <w:p>
      <w:r>
        <w:t xml:space="preserve"> </w:t>
      </w:r>
    </w:p>
    <w:p>
      <w:pPr>
        <w:pStyle w:val="Heading2"/>
      </w:pPr>
      <w:r>
        <w:t>Risk Factors And Limitations</w:t>
      </w:r>
    </w:p>
    <w:p>
      <w:r>
        <w:t>Data quality and mapping errors: probabilistic HS-to-species linkage may misassign trade to stocks, producing measurement error; low-confidence records may reduce precision. Endogeneity and selection: countries signing FTAs may differ on unobserved trends that bias causal estimates despite PSM. Staggered adoption and spillovers: complex timing and cross-border trade leakage can violate DiD assumptions and bias effects. IUU and VMS data access: restricted or incomplete AIS/VMS data limit effort measurement and IUU model training. Statistical power: small sample sizes for some corridors or rare clause adoptions may yield low power to detect modest MTL changes. Model misspecification: bioeconomic responses and climate multipliers may be misspecified, limiting external validity. Compute and scalability: ensemble IUU detection and large synthetic-control runs are compute-intensive. Legal/privacy constraints: role-based access and DOIs may restrict sharing raw sensitive data, limiting reproducibility for external reviewers.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