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quantify_modularity_data_quality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Mixed-methods causal analysis and structured data-management framework to quantify modularity effects in modular product families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Improving module-level data quality and structured linkage across BOM, CAD, change logs, and production records causes more accurate and higher-powered estimates of modularity effects on development cost, integration time, and defect rates.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work measures modularity with simple counts (parts, functions), platform commonality ratios, or simulation models and uses case studies or cross-sectional regressions. Other approaches build modularity indices from design or software metrics and run agent-based simulations to study long-term dynamics. Limitations: metrics are inconsistent across firms, measurement error in BOM/CAD data is widespread, studies rarely link design-level data to downstream cost and field outcomes, sample sizes are small or single-firm, causal identification is weak (correlation not causation), and reproducible ETL/mapping rules are typically missing. Prior causal attempts often ignore staggered policy rollouts and fail to pre-specify weak-instrument or staggered-adoption estimators. In short, prior methods show promise but are constrained by poor data quality, missing provenance, inconsistent operational definitions, and limited causal inference tools.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Quantifying how modular design choices affect cost, time, and quality across product families is hard because industrial design and production data are messy, inconsistent, and disconnected. We present a mixed-methods research program that combines a canonical data-mapping pipeline, operationalized module and interface metrics, and pre-registered causal estimators to make modularity effects measurable and comparable. The approach defines exact algorithms for module granularity, interface-change detection, and commonality; produces automated provenance and QC checks; and links CAD/BOM/ERP/change logs to production and field outcomes. For causal inference we use event-study difference-in-differences, staggered-adoption estimators, and instrument-based methods with pre-specified weak-instrument tests. We also provide multilevel models (module, variant, family) and simulation experiments to evaluate power and robustness under varying data quality. Main contributions are: reproducible ETL rules and code, validated operational metrics, a pre-registered analysis plan including estimator selection, and synthetic datasets for reproducibility. Expected impact: enable robust, generalizable estimates of modularity effects that industrial teams can trust when making architectural choices.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1) Pilot empirical dataset: 30 product families from partner firms, 8-15 variants per family, ≥4 releases per family, hashed IDs linking BOM, CAD, change logs, development effort logs, production volumes, and defect records. 2) Synthetic datasets: 100 replicates per scenario generated by the preregistered multilevel simulator. Baselines: A) naive modularity index (mean part-count per module), B) design-only simulation studies, C) single-firm longitudinal regressions without canonical mapping. Evaluation metrics: bias and RMSE of average treatment effect (ATE) estimates, 95% confidence interval coverage, statistical power (1-β) to detect standardized effects of 0.2/0.3, Cronbach’s alpha (reliability) for multi-item constructs, measurement-invariance p-values across families, and mean absolute error in change-propagation time. Experimental setup: 1) ETL and canonical mapping applied to raw firm extracts to produce analytic tables with module_id, variant_id, family_id, release_date, function_count, part_count, interface_specs, dependency counts, development_hours, defect_count, production_volume. 2) Measurement validation: confirmatory factor analysis (CFA) on latent modularity factors; report loadings and fit indices. 3) Causal estimation: event-study DiD with leads/lags ±4 periods using Sun &amp; Abraham estimator when adoption timing is heterogeneous; Callaway &amp; Sant’Anna estimator as robustness check; cluster-robust SEs at family level. 4) IV analyses using regulatory/grant timing as instruments; report first-stage F, LIML and Anderson-Rubin (AR) confidence sets. 5) Multilevel models: random intercepts for family and variant, cross-classified random effects for modules shared across variants. 6) Ablations and comparisons: (a) full pipeline vs baseline A/B/C; (b) canonical mapping on vs off to measure impact of provenance; (c) estimator ablation: Sun &amp; Abraham vs Callaway &amp; Sant’Anna vs two-way FE; (d) imputation ablation: MICE vs Bayesian imputation vs complete-case. 7) Simulation grid: vary ICC ∈ {0.1,0.2,0.3}, missingness ∈ {5%,20%,40%}, instrument strength (first-stage F ∈ {5,10,25}), 1000 replications per cell, alpha=0.05. Report RMSE, coverage, and MDE across scenarios.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Data access and legal constraints: firms may deny access or restrict fields under GDPR; anonymization may remove analytical signals. Missing data and measurement error: BOM/CAD links and engineer-tagged function counts can be inconsistent or absent. Weak instruments: proposed instruments (policy or grant timing) may fail first-stage strength. Selection bias: participating firms may not represent the population, limiting generalization. Small cluster counts: fewer than ~30 families reduces estimator reliability and bootstrap validity. Inter-rater variability: manual labels for functions or interfaces can have low agreement, increasing noise. Overlapping and nested modules: cross-classified structure complicates variance estimation and may induce double-counting if not handled precisely. Computational cost and engineering: ETL, geometry hashing, and large-scale simulations require substantial compute and storage. Outcome heterogeneity: effects of modularity may vary strongly by technology volatility and volume, limiting single-point conclusions.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