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shrinkflation_japan_unitprice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shrinkflation's contribution to Japan's measured inflation using UPC-level unit-price reconstruction and macro counterfactuals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Sustained reductions in product net content (shrinkflation) cause official CPI-based inflation to understate true household cost-of-living increases in Japan.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measure inflation with list prices and apply quality adjustments (for example, hedonic methods) or use scanner/POS data to build price indices. Prior scanner-data work shows unit-price series can reveal hidden price changes, but studies often lack robust automated detection of net-content changes, rely on manual labeling, or do not link micro-level unit-price changes to national CPI aggregates and macro policy simulations. Methods using hedonic adjustments address quality change but struggle when quantity rather than quality shifts. Instrumental-variable strategies for producer responses to input shocks exist but are rarely applied to package-size decisions, leaving endogeneity and inventory dynamics under-addressed. Regression-discontinuity opportunities around labeling thresholds are noted but underexploited. Key unresolved issues: automated, validated detection of shrink events at UPC scale; credible IVs that respect exclusion restrictions; pre-registered aggregation to a unit-adjusted CPI; and integration of micro measurement error into macro counterfactuals.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measures how shrinkflation—reductions in net product content without list-price increases—affects Japan's official inflation statistics and macro policy decisions. We reconstruct unit-price time series at the UPC level from scanner, e-commerce, and CPI microdata, detect shrink events using change-point algorithms supplemented by packaging OCR (optical character recognition), and estimate within-product effects of content reductions on unit prices with fixed-effect and difference-in-differences designs. We validate identification with instruments based on lagged commodity and packaging-cost shocks and exploit regulatory thresholds for regression-discontinuity checks. We aggregate UPC results to a unit-adjusted CPI and embed measurement bias in a calibrated New-Keynesian-style macro model to simulate policy counterfactuals. The main contribution is a reproducible pipeline linking micro detection of shrinkflation to bias in national inflation and central-bank decisions. Expected outcomes include quantified CPI bias estimates, validated shrink-event catalogs, IV diagnostics, and policy-relevant counterfactuals showing how measurement error can alter inferred real policy rates and welfare metrics.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UPC-level scanner/POS data (NielsenIQ or equivalent) covering retailers; (2) retailer proprietary scans (Aeon/Seiyu) and e-commerce scrapes (Rakuten/Amazon) with timestamps and prices; (3) Statistics Bureau CPI microdata and Family Income and Expenditure Survey for weights; (4) packaging registries and image metadata for net-content; (5) commodity price series (sugar, cocoa, wheat, milk powders), PET resin indices, freight and exchange rates; (6) firm-level product portfolios and public disclosures. Baselines: (A) official CPI (list-price based); (B) naive unit-price index without shrink detection; (C) hedonic-adjusted CPI. Metrics: bias in annual inflation points (official CPI minus unit-adjusted CPI), MDE and power at SKU and category levels, precision/recall and F1 for shrink detection OCR, RMSE of unit-price reconstruction, first-stage F-statistics for IVs, IV weak-instrument robust CIs (Anderson-Rubin), compensating variation in yen and percent of income, policy-rate bias under Taylor-rule scenarios, clustering-robust standard errors. Detection and validation: implement PELT (change-point), CUSUM and Bayesian online change-point detection on net-content time series; OCR pipeline for net-content extraction with a stratified 15% manual validation sample. Primary regressions: within-product fixed-effects model log(unit_price_it) = alpha_i + gamma_t + beta Shrink_it + X_it delta + eps_it; DiD with matched controls (propensity-score nearest-neighbor 1:2), event-study with leads/lags using Sun-Abraham or Callaway &amp; Sant'Anna estimators for staggered adoption. IV strategy: shrink_it ~ lagged commodity_price_k,t-L × firm_exposure_fk (first stage), second stage unit_price on predicted shrink; pre-register L = 1..6 months and require F&gt;10, report LIML and Anderson-Rubin CIs. RD: exploit regulatory labeling thresholds (sharp cutoffs) with McCrary density and manipulation tests, pre-specified bandwidth selection. Aggregation: recompute unit-adjusted CPI by substituting unit-price changes into expenditure shares from expenditure survey; bootstrap at product-retailer level for uncertainty. Ablations: (1) detection with and without OCR validation; (2) thresholds at 2%, 5%, 10% and persistence 1,2,4 weeks; (3) DiD only vs DiD+IV; (4) clustering dimensions product, retailer, region; (5) welfare grid varying substitution elasticities [0.2,0.5,1.0,1.5]. Pre-specified outputs: shrink event catalog, unit-adjusted CPI series, event-study plots, IV diagnostics, RD plots, welfare and policy counterfactual tables. Reproducibility: public aggregated replication subset at category×month and code repository with analysis scripts.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access constraints: proprietary scanner and retailer data may be incomplete or restricted, limiting coverage and representativeness. OCR errors and noisy packaging metadata: misread net-content values can bias shrink detection (technical term: measurement error, meaning errors in recorded values). UPC churn and merges/splits: product relabeling or multipacks complicate persistent UPC tracking and can misclassify treatment. Endogeneity and weak instruments: commodity-price instruments may correlate with demand or inventory timing, yielding weak or invalid IVs. Anticipation and concurrent changes: firms may announce changes, run promotions, reformulate quality, or change packaging and price simultaneously, confounding causal attribution. Small-cluster inference: few treated units or clustered data may make standard errors unreliable. Generalization limits: results focus on packaged consumer goods and Japan; findings may not extend to services, fresh produce, or countries with different labeling rules. Macro aggregation simplifications: embedding micro measurement bias into a calibrated DSGE (technical term: a macroeconomic model that describes economy dynamics) abstracts from heterogeneous firm and household responses and may misstate general-equilibrium effects. Computational limits: large-scale OCR and scanner processing require storage and compute resources that may constrain sample size.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