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unequal_age_household_cee</w:t>
      </w:r>
    </w:p>
    <w:p>
      <w:r>
        <w:t xml:space="preserve"> </w:t>
      </w:r>
    </w:p>
    <w:p>
      <w:pPr>
        <w:pStyle w:val="Heading2"/>
      </w:pPr>
      <w:r>
        <w:t>Title</w:t>
      </w:r>
    </w:p>
    <w:p>
      <w:r>
        <w:t>Decomposing income inequality by age and household type in Central and Eastern Europe using cohort decomposition and dynamic microsimulation</w:t>
      </w:r>
    </w:p>
    <w:p>
      <w:r>
        <w:t xml:space="preserve"> </w:t>
      </w:r>
    </w:p>
    <w:p>
      <w:pPr>
        <w:pStyle w:val="Heading2"/>
      </w:pPr>
      <w:r>
        <w:t>Short Hypothesis</w:t>
      </w:r>
    </w:p>
    <w:p>
      <w:r>
        <w:t>Demographic aging and cohort replacement, mediated by changes in household composition, have caused a measurable increase in disposable income inequality for older single households relative to coupled households in Central and Eastern Europe between 2005 and 2022.</w:t>
      </w:r>
    </w:p>
    <w:p>
      <w:r>
        <w:t xml:space="preserve"> </w:t>
      </w:r>
    </w:p>
    <w:p>
      <w:pPr>
        <w:pStyle w:val="Heading2"/>
      </w:pPr>
      <w:r>
        <w:t>Related Work</w:t>
      </w:r>
    </w:p>
    <w:p>
      <w:r>
        <w:t>Existing approaches examine income inequality over the life cycle and across cohorts using cross-sectional surveys and longitudinal panels, and some use cohort decomposition or present-discounted lifetime income measures. Other work applies static microsimulation or tax-benefit models to distributional questions, and demographic studies use population projections to study aging. Limitations in current methods include: limited integration of household-type variation (many studies focus on individuals not household structure), weak linkage between survey data and administrative pension/tax records which biases lifetime measures, sparse use of dynamic microsimulation that combines demographic processes with tax-benefit engines, insufficient power analyses for subgroup effects, and limited treatment of identification threats for policy change causal inference. General equilibrium feedbacks and disclosure-risk-aware synthetic-data workflows are also underdeveloped in prior work.</w:t>
      </w:r>
    </w:p>
    <w:p>
      <w:r>
        <w:t xml:space="preserve"> </w:t>
      </w:r>
    </w:p>
    <w:p>
      <w:pPr>
        <w:pStyle w:val="Heading2"/>
      </w:pPr>
      <w:r>
        <w:t>Abstract</w:t>
      </w:r>
    </w:p>
    <w:p>
      <w:r>
        <w:t>Problem: Income inequality varies by age and household type, but it is unclear how demographic aging and cohort changes drive inequality among older single and multigenerational households in Central and Eastern Europe (CEE). Approach: Combine harmonized EU-SILC and LIS survey data with national administrative pension and tax records, population projections, age-period-cohort models, decomposition methods, causal designs (staggered difference-in-differences and regression discontinuity at pension cutoffs), and a dynamic microsimulation that calls a per-period tax-benefit engine. Contribution: Provide a transparent decomposition of aggregate inequality into (a) demographic composition, (b) cohort replacement, and (c) within-cohort dynamics, and produce lifetime present-discounted inequality measures by household type. Expected outcome: Quantified contributions of aging and household composition to inequality trends in Poland, Czechia, Romania, and Bulgaria, plus policy counterfactuals showing which pension and family-policy levers most affect vulnerability of older single households. Technical terms explained: cohort replacement means newer birth groups replacing older ones; present-discounted lifetime income is the sum of future incomes converted to present value using a discount rate.</w:t>
      </w:r>
    </w:p>
    <w:p>
      <w:r>
        <w:t xml:space="preserve"> </w:t>
      </w:r>
    </w:p>
    <w:p>
      <w:pPr>
        <w:pStyle w:val="Heading2"/>
      </w:pPr>
      <w:r>
        <w:t>Experiments</w:t>
      </w:r>
    </w:p>
    <w:p>
      <w:r>
        <w:t>Datasets: harmonized EU-SILC microdata (2004/05 to 2022), LIS cross-sections, national administrative pension and tax microdata where accessible, Labour Force Surveys (LFS) for transition rates, Human Mortality Database and UN/Eurostat population projections. Baselines: (1) cross-sectional trend analysis of Gini and median incomes by age and household type, (2) cohort decomposition without household-type adjustment, (3) static tax-benefit counterfactuals using EUROMOD only. Steps and methods: 1) Harmonize income concepts (market vs disposable), equivalence scales (OECD-modified default; sensitivity: square-root and per-capita), and household types (single, single parent, couple with/without children, multigenerational). 2) Descriptive: compute age profiles of mean/median income, Gini, Theil, Atkinson, and poverty rates by household type. 3) Decomposition: apply Kitagawa/Shapley decomposition to apportion aggregate inequality change to population composition vs within-group inequality. 4) APC models: estimate age, period, cohort effects using constrained spline APC to derive cohort life-cycle trajectories. 5) Causal inference: staggered DiD using Sun &amp; Abraham estimators and stacked DiD for pension and family policy reforms; run event-study pre-trend tests; RDD at pension eligibility cutoffs with McCrary density tests and bias-corrected local-polynomial inference. 6) Retirement and behavior: estimate hazard models for retirement timing and IV/control-function where endogeneity exists; instruments include statutory eligibility cutoffs and formula kinks. 7) Microsimulation: build a dynamic microsimulator with annual stochastic transitions (fertility, mortality, marriage/divorce, migration, employment, wages), integrate EUROMOD as the per-period tax-benefit engine, calibrate to age-household targets. 8) Scenarios: run demographic (low/high fertility, migration) and policy counterfactuals (pension indexation, retirement age, family transfers). Validation and evaluation: compare simulated aggregates to admin totals (pension outlays, recipiency rates), compute RMSE across calibration moments, posterior predictive checks if Bayesian calibration used. Metrics: Gini, Theil, Atkinson, present-discounted lifetime Gini (PDV Gini), Spearman rank correlation for mobility, replacement rates, policy impact on poverty rates, MDE tables from Monte Carlo power analysis. Ablation studies: (A) microsimulation without household composition dynamics, (B) microsimulation without admin linkage (survey-only), (C) causal estimates excluding regions with high migration. Reporting: include subgroup MDEs for key strata (age cohorts, gender, household type, urban/rural, regions), and provide Monte Carlo parameter tables for effect sizes, ICCs, donor-pool sizes, attrition rates, and bandwidth rules.</w:t>
      </w:r>
    </w:p>
    <w:p>
      <w:r>
        <w:t xml:space="preserve"> </w:t>
      </w:r>
    </w:p>
    <w:p>
      <w:pPr>
        <w:pStyle w:val="Heading2"/>
      </w:pPr>
      <w:r>
        <w:t>Risk Factors And Limitations</w:t>
      </w:r>
    </w:p>
    <w:p>
      <w:r>
        <w:t>Data access delays or refusal for national administrative pension/tax microdata; survey underreporting and top-coding causing biased income tails; linkage error between survey and admin records yielding mismeasured lifetimes; attrition and item nonresponse in panels reducing effective sample sizes; small subgroup sample sizes limiting power for heterogeneity analyses; identification threats: violation of DiD parallel trends, manipulation at RDD cutoffs, or unobserved cohort shocks correlated with reforms; model misspecification in microsimulation transition kernels leading to biased forecasts; limited treatment of general equilibrium labor-market feedbacks from extended working lives; high computational costs for Monte Carlo replication and Bayesian calibration; disclosure risk when releasing synthetic microdata and legal constraints on data sharing; results may not generalize beyond CEE or beyond the 2005–2022 window.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