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organic_fieldday_trials</w:t>
      </w:r>
    </w:p>
    <w:p>
      <w:r>
        <w:t xml:space="preserve"> </w:t>
      </w:r>
    </w:p>
    <w:p>
      <w:pPr>
        <w:pStyle w:val="Heading2"/>
      </w:pPr>
      <w:r>
        <w:t>Title</w:t>
      </w:r>
    </w:p>
    <w:p>
      <w:r>
        <w:t>Participatory multi-site on-farm trials and survey-based evaluation of stakeholder acceptance and agronomic, economic, and soil impacts of prioritized organic farming innovations in Germany</w:t>
      </w:r>
    </w:p>
    <w:p>
      <w:r>
        <w:t xml:space="preserve"> </w:t>
      </w:r>
    </w:p>
    <w:p>
      <w:pPr>
        <w:pStyle w:val="Heading2"/>
      </w:pPr>
      <w:r>
        <w:t>Short Hypothesis</w:t>
      </w:r>
    </w:p>
    <w:p>
      <w:r>
        <w:t>Adoption of at least one prioritized innovation (legume-rich rotations, mechanical weed control, reduced tillage, crop–livestock integration, or cultivar diversification) causes a mean increase of ≥5% in crop yield or an absolute increase of ≥0.20 percentage points in soil organic carbon (0–30 cm), and a non-negative mean change in farm net margin within three years compared to local farmer practice.</w:t>
      </w:r>
    </w:p>
    <w:p>
      <w:r>
        <w:t xml:space="preserve"> </w:t>
      </w:r>
    </w:p>
    <w:p>
      <w:pPr>
        <w:pStyle w:val="Heading2"/>
      </w:pPr>
      <w:r>
        <w:t>Related Work</w:t>
      </w:r>
    </w:p>
    <w:p>
      <w:r>
        <w:t>Existing research on organic farming innovations mostly uses short-term, single-site trials or surveys that document farmer attitudes and small experimental plots. Prior approaches have shown benefits of cover crops, legumes, mechanical weeding, reduced tillage, crop–livestock integration and cultivar choice in specific contexts, but they share common limits: limited geographic scope (single region), low replication across farms, short duration that misses rotation and SOC dynamics, inconsistent measurement of greenhouse gas fluxes (N2O) and bulk density, weak linkage between field-day surveys and on-farm trials, and sparse use of hierarchical statistical models that fully propagate uncertainty. Many studies lack pre-registration, standardized QA/QC across labs, and robust sample-frame adjustments to correct for biased event attendance. As a result, external validity (generalizing to diverse farms) and integrated inference about agronomic, economic and environmental trade-offs remain unresolved.</w:t>
      </w:r>
    </w:p>
    <w:p>
      <w:r>
        <w:t xml:space="preserve"> </w:t>
      </w:r>
    </w:p>
    <w:p>
      <w:pPr>
        <w:pStyle w:val="Heading2"/>
      </w:pPr>
      <w:r>
        <w:t>Abstract</w:t>
      </w:r>
    </w:p>
    <w:p>
      <w:r>
        <w:t>We address whether farmer-accepted organic innovations produce measurable agronomic, economic, and soil benefits under real-world conditions. We combine a structured field-day survey with participatory multi-site on-farm trials across 2–3 pilot regions in Germany. The approach tests prioritized innovations (legume-rich rotations and cover crops, mechanical weed control, reduced tillage, crop–livestock integration, and cultivar diversification) using 8–15 farms per innovation, on-farm replicated strips, and sentinel farms for greenhouse gas monitoring. Main contributions are: (1) linking stakeholder acceptance from surveys to trial selection, (2) a reproducible measurement and analysis pipeline using pre-registered Bayesian multilevel models (models that account for plot, farm and region levels and fully quantify uncertainty), and (3) open SOPs for SOC and N2O sampling and QA/QC. Expected outcomes are quantitative effect estimates (yield, SOC, weed control, N2O proxies, labor, net margin) with uncertainty intervals, sample-size informed minimum detectable effects, and clear go/no-go rules for scaling. Results will inform participatory extension and policy by providing defensible, farm-relevant evidence on which innovations are effective and acceptable.</w:t>
      </w:r>
    </w:p>
    <w:p>
      <w:r>
        <w:t xml:space="preserve"> </w:t>
      </w:r>
    </w:p>
    <w:p>
      <w:pPr>
        <w:pStyle w:val="Heading2"/>
      </w:pPr>
      <w:r>
        <w:t>Experiments</w:t>
      </w:r>
    </w:p>
    <w:p>
      <w:r>
        <w:t>Datasets: (1) Field-day survey dataset of attendees with farm descriptors (aim n=1200 across regions) used for sampling frame and covariates; (2) On-farm trial dataset: 2–3 pilot regions, 8–15 farms per innovation, 3 within-farm replicated strips per farm, plot-level measurements; (3) Sentinel GHG dataset: 20–30 stratified sentinel farms for static-chamber N2O fluxes. Baselines: local farmer practice control strips on each farm and a researcher-managed standard control. Treatments: single-innovation arms (each innovation alone), combined-innovation arm (where feasible), and two management arms per treatment (researcher-managed and farmer-managed). Key measurements: cereal yield (t ha-1) and protein (%), SOC (%) at 0–10 and 10–30 cm and bulk density, mineral N (spring and post-harvest kg N ha-1), weed biomass (g m-2), N2O fluxes (mg N2O-N m-2 day-1) on sentinel farms, labor hours, fuel use, gross margin (€/ha). Evaluation metrics: mean treatment effect, 95% credible intervals, probability treatment&gt;0, minimum detectable effect (MDE) tables for % yield and % SOC across ICCs 0.05–0.30, intraclass correlation (ICC), coefficient of variation (CV) for yield, return on investment (ROI) and payback years. Analysis methods: Bayesian multilevel models with farm random intercepts and random slopes for treatments (random effect = farm; fixed effect = region), weakly informative priors (example: standardized effect ~ Normal(0,1); group SD ~ Half-Student-t(3,0,1)), difference-in-differences for longitudinal outcomes, inverse probability weighting for non-random adoption comparisons, and contamination sensitivity analyses. Comparison/ablation studies: (A) researcher-managed vs farmer-managed arms for the same innovation; (B) legume rotation alone vs legume+cover crop vs control; (C) single innovation vs combined innovations. Power and sample-size reporting: publish MDE curves and tables (alpha=0.05, target power=0.8) produced from simulation sweeps over ICC and farm counts. Pre-registration: primary outcomes, estimands, multiplicity control (FDR) and analysis code archived prior to analysis.</w:t>
      </w:r>
    </w:p>
    <w:p>
      <w:r>
        <w:t xml:space="preserve"> </w:t>
      </w:r>
    </w:p>
    <w:p>
      <w:pPr>
        <w:pStyle w:val="Heading2"/>
      </w:pPr>
      <w:r>
        <w:t>Risk Factors And Limitations</w:t>
      </w:r>
    </w:p>
    <w:p>
      <w:r>
        <w:t>Recruitment and sampling bias: field-day attendees are not a random sample of organic farmers, which may limit representativeness. Low power and high variability: ICCs or high between-farm variance may reduce ability to detect small effects. Measurement error: SOC and bulk density sampling is noisy and needs many cores; N2O chambers capture episodic spikes and may not scale cleanly to annual fluxes. Chamber bias: manual vs automated chambers can differ, causing calibration challenges. Missing data and attrition: multi-year trials risk drop-out and non-random missingness. Contamination and spillovers: farmer-to-farmer knowledge transfer may reduce contrast between treatments. Resource constraints: laboratory costs, labor for repeated sampling, and trained staff needs may limit sample sizes. Generalizability: findings will be most applicable to German organic systems and similar agroecologies. Ethical and privacy limits: incentives and data-sharing regimes must respect participant consent and may limit open data detail. No-mitigation strategies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