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ewaste_dismantling_carbon_inventory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Field-based process-level carbon footprint accounting of e-waste dismantling in China using daily-matched electricity and mass-flow inventories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Linking facility-level daily electricity consumption to same-day dismantling mass reduces the uncertainty (narrower 95% confidence intervals) of gate-to-gate carbon footprint estimates relative to using monthly or facility-average energy data.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carbon accounting for e-waste dismantling rely on either coarse facility-average energy data or database emission factors, limited field measurements, and case studies focused on formal facilities. Recent work advances high-resolution carbon measurement, uncertainty frameworks, and scalable upscaling techniques, but common limitations remain: many studies lack daily time resolution linking energy use to dismantling throughput; informal-sector activities (backyard dismantling, open burning) are under-sampled; pollutant scope often excludes heavy metals and persistent organic pollutants; uncertainty propagation is incomplete or absent; spatial upscaling methods rarely integrate georeferenced sample data with machine-learning and spatial cross-validation. Datapipelines and reproducibility are often weak, with few studies publishing standardized templates, calibration metadata, or code for Monte Carlo uncertainty analysis. These gaps limit defensible, policy-relevant national estimates and hotspot identification.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high uncertainty in carbon footprint estimates for e-waste dismantling in China caused by mismatches between energy data and dismantling activity. We propose a field-based method that constructs a process-level carbon inventory by matching daily electricity consumption and fuel use to daily dismantling mass flows for five e-waste categories across stratified formal and informal facilities. Main contributions are: (1) a standardized field protocol and instrument suite for mass balances, energy logging, and direct emissions (CO2, CO, PM, VOCs, heavy metals, POPs); (2) process-level emission factor development linking measured emissions to mass/energy flows; (3) an open data pipeline and reproducible Monte Carlo uncertainty framework; and (4) spatial upscaling using ensemble machine learning with spatial block cross-validation. Expected outcomes include tighter confidence intervals on gate-to-gate carbon estimates, spatially explicit hotspots for mitigation, and publicly available datasets and code to support policy and further research.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field measurements from 30-50 stratified sites (8-12 formal, 8-12 informal, remainder aggregators) across north/south/east China; per-site daily logs of dismantled mass by product type (large appliances, small household electronics, ICT devices, two others), calibrated scale records, daily electricity consumption (clamp meter/data logger), fuel use logs, process time-motion logs; direct emissions: continuous CO2/CO NDIR logs, PM2.5/PM10 gravimetric and optical measures, TO-15/TO-17 or sorbent VOC samples, lab analyses for heavy metals (ICP-MS) and POPs (GC-MS/MS or HRMS); background data: province-level electricity grid emission factors and national e-waste generation maps. Baselines: (A) monthly-averaged energy linked to monthly throughput; (B) literature/process database emission factors without site-specific measurements; (C) no uncertainty propagation. Evaluation metrics: 95% CI width for per-tonne CO2e (uncertainty reduction), RMSE and bias of upscaled per-province footprints against held-out validation provinces, coverage probability (proportion of true values within predicted intervals), variance components (within-site vs between-site) from mixed-effects models, and sensitivity indices (Sobol) to rank uncertainty drivers. Experimental setup: collect 3-5 representative operating days per site, replicate key emissions measurements (minimum 2 replicates per process type; 6-10 for stable processes; 10-20 for highly variable processes like open burning), run hierarchical mixed-effects models to apportion variance, perform Monte Carlo propagation (N=10,000 draws) combining instrument uncertainty, sampling variability, and background EF uncertainty, and upscale site-level footprints with random forest and gradient boosting models using spatial block cross-validation (holdout provinces). Ablation studies: (1) remove daily-matching (use monthly averages) to measure change in CI width; (2) exclude informal-site data to assess bias in national upscaling; (3) omit heavy-metal/POP measurements to evaluate changes to co-benefit indicators. All code and data templates will be version-controlled and reproducible.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Access and sampling bias: informal sites may refuse access or be unsafe, producing nonrandom missing data and limiting representativeness. Measurement limits: some contaminants (PCDD/Fs, PBDEs, PCBs) require low detection limits and specialized labs; non-detects may complicate statistics. Temporal coverage: 3-5 days per site may not capture long-term seasonality in fuel use or thermal processes. Sample size: 30-50 sites may be insufficient to fully characterize rare processes or high regional heterogeneity. Upscaling limits: machine-learning spatial models may not extrapolate well to provinces with different economic or regulatory contexts. Lab capacity and turnaround: limited accredited labs for POPs/heavy metals could delay analysis or increase cost. Safety and ethics constraints: hazardous operations may be excluded from sampling, biasing emission factors downward. LCA boundary choices: gate-to-gate focus omits upstream manufacturing and downstream recyclate fate, limiting full life-cycle conclusions.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