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purpose_dc_causal_preregister</w:t>
      </w:r>
    </w:p>
    <w:p>
      <w:r>
        <w:t xml:space="preserve"> </w:t>
      </w:r>
    </w:p>
    <w:p>
      <w:pPr>
        <w:pStyle w:val="Heading2"/>
      </w:pPr>
      <w:r>
        <w:t>Title</w:t>
      </w:r>
    </w:p>
    <w:p>
      <w:r>
        <w:t>Preregistered causal evaluation of corporate purpose effects on strategic renewal using staggered difference-in-differences, NLP classification, and dynamic mediation analysis</w:t>
      </w:r>
    </w:p>
    <w:p>
      <w:r>
        <w:t xml:space="preserve"> </w:t>
      </w:r>
    </w:p>
    <w:p>
      <w:pPr>
        <w:pStyle w:val="Heading2"/>
      </w:pPr>
      <w:r>
        <w:t>Short Hypothesis</w:t>
      </w:r>
    </w:p>
    <w:p>
      <w:r>
        <w:t>An enacted increase in corporate purpose (content plus documented enactment) causes higher firm-level strategic renewal activity, measured as increased sensing, seizing, and reconfiguring behaviors, within three years after treatment.</w:t>
      </w:r>
    </w:p>
    <w:p>
      <w:r>
        <w:t xml:space="preserve"> </w:t>
      </w:r>
    </w:p>
    <w:p>
      <w:pPr>
        <w:pStyle w:val="Heading2"/>
      </w:pPr>
      <w:r>
        <w:t>Related Work</w:t>
      </w:r>
    </w:p>
    <w:p>
      <w:r>
        <w:t>Existing work separates corporate purpose from strategy and from dynamic capabilities. Prior approaches use cross-sectional surveys, single-source archival proxies, or descriptive case studies to link purpose and firm adaptability. Dynamic-capabilities studies map sensing, seizing, and reconfiguring to firm renewal but often use coarse proxies (R&amp;D intensity, patent counts, M&amp;A totals) and lack rigorous causal designs. NLP studies extract firm signals from text but often rely on static lexicons or small hand-coded sets without cross-lingual validation. Causal studies use simple fixed-effects or naive DiD without staggered-adoption corrections or rigorous IV checks, leaving time-varying confounding and selection into treatment unresolved. Measurement limitations include lack of validated scales for purpose enactment and salience, weak coder reliability rules, and limited propagation of classifier uncertainty into downstream causal estimates. Mixed-methods governance insights exist but are not systematically integrated into preregistered identification strategies. These gaps limit causal claims and cross-context generalization.</w:t>
      </w:r>
    </w:p>
    <w:p>
      <w:r>
        <w:t xml:space="preserve"> </w:t>
      </w:r>
    </w:p>
    <w:p>
      <w:pPr>
        <w:pStyle w:val="Heading2"/>
      </w:pPr>
      <w:r>
        <w:t>Abstract</w:t>
      </w:r>
    </w:p>
    <w:p>
      <w:r>
        <w:t>This study tests whether enacted corporate purpose causally increases firms' strategic renewal by improving sensing, seizing, and reconfiguring. We combine a preregistered causal design (staggered difference-in-differences with event windows and complementary IV and dynamic-panel estimators), validated NLP classification of purpose signals, and multilevel mediation analysis to map mechanisms. Treatment is defined as a composite enacted-purpose shock: a large textual change in stated purpose plus a documented enactment action within six months, sustained for two years. Primary outcomes are firm-year revenue growth, R&amp;D intensity, pivot frequency, M&amp;A activity, and exit rates measured with 1–3 year lags. We contribute (1) a reproducible causal pipeline with explicit DAG assumptions, (2) numeric coding rules for sensing/seizing/reconfiguring proxies, and (3) an assessment of classifier uncertainty propagated into causal estimates via probabilistic imputation. Expected outcomes are credible causal estimates of purpose effects, quantified mediation via dynamic capabilities, and open-source measures for future research.</w:t>
      </w:r>
    </w:p>
    <w:p>
      <w:r>
        <w:t xml:space="preserve"> </w:t>
      </w:r>
    </w:p>
    <w:p>
      <w:pPr>
        <w:pStyle w:val="Heading2"/>
      </w:pPr>
      <w:r>
        <w:t>Experiments</w:t>
      </w:r>
    </w:p>
    <w:p>
      <w:r>
        <w:t>Datasets: Compustat (financials), CRSP (returns), EDGAR 10-K and CEO letters (text), news corpus (GDELT/LexisNexis), ESG index files (MSCI/Refinitiv), Crunchbase/CB Insights (venture activity), PATSTAT/USPTO (patents), SDC Platinum (M&amp;A), LinkedIn/Glassdoor aggregates or anonymized HR panels where available. Human-coded training set: 500 documents per language, min 3 languages. Baselines: (A) OLS firm and year fixed effects; (B) naive DiD without staggered corrections; (C) staggered DiD with Callaway &amp; Sant’Anna corrections; (D) doubly-robust DiD (DRDiD); (E) IV 2SLS with candidate instruments (founder departure indicator, ESG-index cutoff-induced inclusion) using first-stage F-stat and overid tests; (F) system-GMM for dynamic panels. NLP models: lexicon-based scoring, logistic regression on TF-IDF, SBERT embeddings with gradient-boosted trees, and pretrained transformer XLM-R fine-tuned classifier. Preprocessing: sentence-splitting, normalization, named-entity masking. Coding rules (numeric): sensing = partner announcements per quarter (count), stakeholder-signal entropy = topic entropy per document (Shannon bits); seizing = new-segment filings per year (count) and annual R&amp;D-share reallocation &gt;10% (binary per year); reconfiguring = organizational-redesign events (binary per year if 8-K/10-K mentions restructure/reporting change) and time-to-reallocate in months (time between announcement and documented HR/segment change). Treatment definition: primary treatment = textual purpose score jump &gt;=1.0 SD plus enactment flag (board resolution, policy launch, or major program) within 6 months; sustained if purpose score remains above threshold for 24 months. Event-study window: leads = -36 months, lags = +60 months. Estimators and checks: Callaway &amp; Sant’Anna DiD, Sun &amp; Abraham event-study corrections, DRDiD, stacked DiD sensitivity, RD at ESG-score thresholds where feasible, IV 2SLS with instrument validity tests, system-GMM with Hansen and AR tests. Mediation: dynamic SEM with lagged mediators (sensing→seizing→reconfiguring), bootstrapped indirect effects, and Imai-style panel causal mediation where identification allows. NLP evaluation: precision, recall, F1, ROC-AUC, Brier score (calibration), and SHAP explainability. Classifier uncertainty propagation: build confusion matrix on holdout (min 500 docs), then run 100 multiple imputations sampling labels from classifier predictive probabilities adjusted by confusion rates; include auxiliary covariates (size, industry, pre-treatment growth) in imputation model; combine estimates by Rubin rules and report between/within variances. Ablations: (1) remove enactment requirement (statement-only treatment); (2) remove salience features (employee survey-derived salience); (3) classifier family ablation: lexicon-only vs transformer; (4) imputation method ablation: probabilistic reweighting vs multiple imputation vs regression-calibration. Evaluation metrics for causal estimates: effect size (SD units), robust clustered SEs at firm level, p-values, event-study graphs with pretrend tests, Rosenbaum bounds sensitivity to unobserved bias, and heterogeneity tests by institution type, firm age, and industry. Power scenarios (simulation outputs preregistered): Scenario A small: N=200 firms, T=5 years, ICC=0.05, target MDE=0.25 SD (80% power); Scenario B medium: N=400, T=8, ICC=0.04, target MDE=0.15 SD (80% power); Scenario C large: N=800, T=10, ICC=0.02, target MDE=0.10 SD (80% power). Reporting: preregister DAG, primary estimand, primary outcome and lag, full codebook, and all scripts on public repo with synthetic data.</w:t>
      </w:r>
    </w:p>
    <w:p>
      <w:r>
        <w:t xml:space="preserve"> </w:t>
      </w:r>
    </w:p>
    <w:p>
      <w:pPr>
        <w:pStyle w:val="Heading2"/>
      </w:pPr>
      <w:r>
        <w:t>Risk Factors And Limitations</w:t>
      </w:r>
    </w:p>
    <w:p>
      <w:r>
        <w:t>Text classification errors: mislabels bias treatment timing and intensity. (Technical risk) Weak instruments or invalid instruments: IV estimates may be biased if instruments correlate with unobserved shocks. (Identification risk) Selection into treatment: firms that adopt purpose may differ on unobserved trends causing confounding. (Confounding risk) Omitted variable bias in dynamic panels: time-varying confounders may violate parallel trends. (Model risk) Data gaps: private HR logs, board minutes, and some country filings may be unavailable, limiting measurement of enactment and reconfiguring. (Data availability) Cross-lingual drift and lexicon decay: meanings and words change, reducing classifier validity over time and across countries. (ML drift) Compute and cost limits: fine-tuning transformers at scale for multi-year corpora requires GPU compute and storage. (Compute risk) Generalization limits: results may not transfer across institutional contexts where governance and stakeholder norms differ. (External validity) Ethical and privacy constraints: accessing internal documents requires NDAs and IRB review and may limit open sharing. (Ethics) Scalability: manual coding for validation and mediation interviews is time-consuming and may limit sample size. (Operational limit) Statistical power: small treated-firm samples or clustered outcomes can reduce ability to detect target MDEs. (Power risk)</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