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qianyang_lulc_esv_uncertainty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Joint propagation of land-use classification and biophysical parameter uncertainty to assess ecosystem service value changes under 2050 PLUS scenarios in Qianyang County, China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Joint Monte Carlo propagation of per-pixel LULC classification uncertainty and biophysical parameter uncertainty through InVEST will change the estimated total ecosystem service value of Qianyang County by at least 5% relative to deterministic estimates that ignore those uncertainties.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Past work creates multi-epoch LULC maps using single classifiers (Random Forest, SVM) or deep nets, applies area-adjustment methods for unbiased area estimates, runs InVEST for ecosystem services, and uses CA-Markov/CLUE-S or PLUS for scenarios. Strengths include robust per-epoch mapping and scenario simulation. Limitations are: (1) uncertainty treatments are usually separate (classification uncertainty or parameter ranges) rather than jointly propagated into ES outputs; (2) temporal correlation of per-pixel posterior probabilities across years is rarely estimated, causing inconsistent change maps; (3) many studies use ad-hoc or non-probability reference sampling, which biases area estimates; (4) scenario elicitation often lacks formal stakeholder-elicitation protocols and quantified priors; (5) fusion rules between continuous-change algorithms (e.g., LandTrendr/CCDC) and discrete classification outputs are informal, producing label-splitting and implausible transitions. These gaps reduce reproducibility and the defensibility of policy-relevant ES estimates.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reproducible workflow that jointly propagates land-use classification uncertainty and biophysical parameter uncertainty to estimate ecosystem service value (ESV) changes in Qianyang County and to evaluate 2050 land-use scenarios generated by the PLUS model. The method produces temporally-harmonized multi-epoch LULC maps (2007–2022) using an ensemble of tree-based classifiers with a U-Net refinement for high-resolution urban features, estimates per-pixel class posteriors and their temporal correlations, then integrates stratified GRTS reference sampling and Olofsson-style area adjustment. A Monte Carlo pipeline samples correlated biophysical priors (via Cholesky decomposition) and LULC posteriors, runs InVEST modules per iteration, and yields spatially-explicit ESV distributions with confidence intervals. Experiments compare this joint pipeline to deterministic baselines and ablations (no SAR, no 10 m refinement, no joint priors). Expected outcome: spatially-explicit, uncertainty-bounded ESV maps and scenario comparisons that are auditable and decision-ready.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Multisource imagery 2007–2022: Landsat 5/7/8 (30 m), Sentinel-2 MSI (10 m) for 2015–2022, Sentinel-1 SAR, high-resolution imagery (GF/Planet/Google) for training/validation; (2) DEM, soils, streamflow/sediment records if available, county statistics, planning maps; (3) Reference samples: spatially balanced GRTS (Generalized Random Tessellation Stratified) design stratified by LULC class × elevation band × administrative unit. Sample-size targets: compute n from n = p(1−p)(Z_{0.975}/d)^2 with d=0.05 (detect 5% absolute change at 95% confidence). Using worst-case p=0.5 gives n≈385 per primary stratum; set per-stratum targets: abundant classes 400, medium classes 200, rare classes 100; total ~3,500–5,000 points. Baselines: (A) single Random Forest per epoch with majority 10 m→30 m aggregation and deterministic InVEST; (B) CA-Markov scenario modeling with deterministic inputs; (C) ensemble without temporal posterior correlation (independent-year sampling). Proposed pipeline (test): ensemble classifiers (RF + XGBoost + LightGBM) with stacking meta-learner producing calibrated per-pixel posteriors; U-Net refinement on 10 m for urban/small features; estimate per-pixel posterior correlation across years using hierarchical Gaussian model on logits (simple hierarchical Bayesian model that shrinks year effects); fuse continuous-change signals (LandTrendr/CCDC) and per-epoch classes with rule-based constrained transition matrix (see ablation). Monte Carlo joint propagation: pilot 500 iterations then full 2,000 iterations; sampling order: (1) draw correlated biophysical parameter vector using Cholesky decomposition of specified covariance; (2) draw LULC map by sampling per-pixel class from calibrated posteriors jointly across years respecting posterior correlations; (3) apply area-adjustment bootstrap for Olofsson per-stratum area error; (4) run InVEST modules (carbon, water yield, sediment retention, nutrient retention, habitat quality) and store outputs. Convergence and QC: require effective sample size ESS&gt;200 and Gelman-Rubin R̂&lt;1.1 for key aggregated outputs; check stability of median and 2.5/97.5% quantiles (&lt;1% change across doubling iterations). Evaluation metrics: classification: overall accuracy, producer/user accuracies, F1 per class, Olofsson-adjusted area estimates with 95% CI, confusion matrices; change detection: year-of-change accuracy, omission/commission rates; ES outputs: mean and 95% CI of total and per-pixel ESV, spatial overlap of top 10% ESV hotspots (with and without uncertainty); hydrology/sediment modules: NSE and KGE where observed streamflow/sediment exist, RMSE and percent bias otherwise. Ablations: (1) remove SAR input; (2) skip 10 m U-Net refinement; (3) sample LULC years independently (no temporal correlation); (4) sample biophysical parameters independently (no covariance); (5) reduce Monte Carlo to 100 iterations to show convergence loss. Reproducibility: fixed random seeds, containerized environment (Docker) with exact software versions, and CI test running a small-area example.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Reference-data gaps: insufficient field plots or inaccessible areas lead to biased area estimates and weaken Olofsson adjustment. 2) Cloud cover and sensor gaps: persistent clouds reduce optical signal quality; SAR can help but may not fully resolve wetland/vegetation confusion. 3) Covariate drift and non-stationarity: relationships between drivers and transitions may change over time, reducing scenario model transferability. 4) Temporal posterior estimation: estimating per-pixel posterior correlation requires enough multi-year observations per pixel; sparse data yield noisy correlation estimates. 5) Computational cost: ensemble classification, U-Net refinement, and 2,000 InVEST Monte Carlo runs are compute- and storage-intensive (multi-core and/or cloud GPU/CPU required). 6) Biophysical priors: local studies for carbon, K-factor, and retention coefficients may be limited; small sample sizes reduce confidence in priors and covariance estimates. 7) Stakeholder elicitation: formal protocols may produce divergent priors; conflict-resolution choices (median vs. weighted) affect scenario outputs. 8) Scale mismatch: aggregating 10 m refinements to 30 m can smooth small features and change local ES estimates. 9) Model overfitting and spatial autocorrelation: blocked CV must be used; otherwise performance estimates are optimistic. 10) Policy interpretation limits: uncertainty ranges may complicate decision-making if thresholds are sharp.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