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postdischarge_dvt_motivation_scale</w:t>
      </w:r>
    </w:p>
    <w:p>
      <w:r>
        <w:t xml:space="preserve"> </w:t>
      </w:r>
    </w:p>
    <w:p>
      <w:pPr>
        <w:pStyle w:val="Heading2"/>
      </w:pPr>
      <w:r>
        <w:t>Title</w:t>
      </w:r>
    </w:p>
    <w:p>
      <w:r>
        <w:t>Development and validation of a protection-motivation-theory-based instrument to measure patient motivation for postdischarge deep vein thrombosis prophylaxis after hip and knee arthroplasty</w:t>
      </w:r>
    </w:p>
    <w:p>
      <w:r>
        <w:t xml:space="preserve"> </w:t>
      </w:r>
    </w:p>
    <w:p>
      <w:pPr>
        <w:pStyle w:val="Heading2"/>
      </w:pPr>
      <w:r>
        <w:t>Short Hypothesis</w:t>
      </w:r>
    </w:p>
    <w:p>
      <w:r>
        <w:t>Higher baseline scores on the newly developed motivation scale cause greater medication adherence (proportion of days covered ≥80%) in the first 30 days after discharge among hip and knee arthroplasty patients, after adjusting for clinical covariates.</w:t>
      </w:r>
    </w:p>
    <w:p>
      <w:r>
        <w:t xml:space="preserve"> </w:t>
      </w:r>
    </w:p>
    <w:p>
      <w:pPr>
        <w:pStyle w:val="Heading2"/>
      </w:pPr>
      <w:r>
        <w:t>Related Work</w:t>
      </w:r>
    </w:p>
    <w:p>
      <w:r>
        <w:t>Existing approaches include general medication-adherence questionnaires, self-efficacy scales, and theoretical measures based on health belief and protection-motivation concepts. Prior methods often use generic items not tailored to short postdischarge windows, lack items specific to injectable vs oral anticoagulants, and seldom link scale scores to objective pharmacy refill or EHR data. Many studies report classical test statistics (Cronbach's alpha, exploratory factor analyses) but do not apply modern item response theory (IRT) to assess item discrimination or test information across the motivation range. Measurement invariance and differential item functioning (DIF) across age, procedure type, language, and literacy are infrequently tested. Short-forms are rarely created with explicit information-preservation rules. These gaps limit clinical usefulness for identifying patients at risk of early non-adherence and for fair use across diverse subgroups.</w:t>
      </w:r>
    </w:p>
    <w:p>
      <w:r>
        <w:t xml:space="preserve"> </w:t>
      </w:r>
    </w:p>
    <w:p>
      <w:pPr>
        <w:pStyle w:val="Heading2"/>
      </w:pPr>
      <w:r>
        <w:t>Abstract</w:t>
      </w:r>
    </w:p>
    <w:p>
      <w:r>
        <w:t>We address the need for a validated, patient-centered instrument to measure motivation for postdischarge deep vein thrombosis (DVT) prophylaxis after hip and knee arthroplasty. We will develop a multi-domain scale grounded in protection motivation theory and complementary frameworks, generating items via literature review, clinician and patient interviews, and expert panel review. Item clarity and content validity will be refined through cognitive interviews. Psychometric evaluation will proceed in stages: pilot reliability and test-retest, exploratory and confirmatory factor analysis using ordinal estimators, and graded response IRT modeling to estimate item discrimination and information (Item Response Theory models describe how item answers relate to the underlying trait). We will test measurement invariance and DIF across key subgroups, derive a short form preserving test information, and assess predictive validity by linking baseline scores to objective pharmacy refill adherence (proportion of days covered) and clinical outcomes. Expected outcome: a brief, reliable, and fair motivation scale that predicts early postdischarge anticoagulant adherence and can be used to target adherence supports.</w:t>
      </w:r>
    </w:p>
    <w:p>
      <w:r>
        <w:t xml:space="preserve"> </w:t>
      </w:r>
    </w:p>
    <w:p>
      <w:pPr>
        <w:pStyle w:val="Heading2"/>
      </w:pPr>
      <w:r>
        <w:t>Experiments</w:t>
      </w:r>
    </w:p>
    <w:p>
      <w:r>
        <w:t>Datasets: Prospective enrollment of adult hip and knee arthroplasty patients at two academic centers. Stage A (cognitive interviews): purposive N=20 (varying age, literacy, hip/knee, language). Stage B (pilot): N=150 for reliability and 7–14 day test-retest (ICC). Stage C (factor discovery): N=400 for exploratory factor analysis (EFA). Stage D (confirmatory): independent N=400 for confirmatory factor analysis (CFA). Stage E (IRT &amp; predictive): pooled N≥800 for graded response model (GRM) parameter stability and predictive validity. Link baseline responses to pharmacy claims/EHR for PDC at 30 and 90 days. Baselines: generic medication-adherence questionnaire, single-item intention, and a self-efficacy scale. Evaluation metrics: content validity indices, readability (Flesch‑Kincaid grade), Cronbach's alpha and McDonald's omega, ICC for test-retest, EFA loadings and communalities, CFA fit indices (CFI, TLI, RMSEA, SRMR) using WLSMV on polychoric matrices, IRT discrimination (a) and threshold (b) parameters and item/test information curves, DIF statistics (IRT-LR and multi-group CFA), PDC (primary outcome), logistic AUC, calibration slope, OR per SD of score, and reclassification metrics (NRI/IDI). Experimental setup: use WLSMV estimator in lavaan or Mplus for ordinal factor models; use mirt in R for GRM. Ablations/comparisons: (1) full item pool vs short-form selected by information-preservation rule, (2) inclusion vs exclusion of reverse-keyed items, (3) models using linked objective PDC vs self-reported adherence, (4) alternate adherence thresholds (PDC≥70%, ≥80%, ≥90%) and gap definitions (3,7,14 days). Prespecified decision rules: retain items with factor loading ≥0.40 and peak item information within theta range −1 to +1; flag DIF if |Δexpected score|&gt;0.20 or ΔCFI&gt;0.01. All analyses will report bootstrap (1,000 reps) internal validation for predictive models.</w:t>
      </w:r>
    </w:p>
    <w:p>
      <w:r>
        <w:t xml:space="preserve"> </w:t>
      </w:r>
    </w:p>
    <w:p>
      <w:pPr>
        <w:pStyle w:val="Heading2"/>
      </w:pPr>
      <w:r>
        <w:t>Risk Factors And Limitations</w:t>
      </w:r>
    </w:p>
    <w:p>
      <w:r>
        <w:t>Incomplete linkage of participants to pharmacy claims or EHR may bias predictive analyses and reduce sample with objective adherence. Symptomatic VTE and major bleeding are rare events, limiting power for clinical outcome prediction. Response biases (acquiescence, social desirability, speeding) can distort scores; short response times and reverse-keyed items may not fully detect bias. Differential item functioning across language, literacy, age, or procedure may require item revision or removal and could limit comparability. Missing data mechanisms may be MNAR (not missing at random), complicating imputation. IRT parameter stability requires large samples (≥500); constraints on recruitment may limit GRM precision. Generalizability beyond academic centers or to other anticoagulant regimens may be limited. Translation and readability adjustments may alter psychometric properties and require separate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