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A dynamic corporate-finance simulation and structural estimation of optimal bank capital under deposit insurance and regulatory constraints</w:t>
      </w:r>
    </w:p>
    <w:p>
      <w:r>
        <w:t xml:space="preserve"> </w:t>
      </w:r>
    </w:p>
    <w:p>
      <w:pPr>
        <w:pStyle w:val="Heading2"/>
      </w:pPr>
      <w:r>
        <w:t>Short Hypothesis</w:t>
      </w:r>
    </w:p>
    <w:p>
      <w:r>
        <w:t>Higher explicit deposit insurance coverage c causes banks to increase leverage ℓ and choose higher risk-taking θ, holding regulatory capital requirements κ̄ and taxes τ constant.</w:t>
      </w:r>
    </w:p>
    <w:p>
      <w:r>
        <w:t xml:space="preserve"> </w:t>
      </w:r>
    </w:p>
    <w:p>
      <w:pPr>
        <w:pStyle w:val="Heading2"/>
      </w:pPr>
      <w:r>
        <w:t>Related Work</w:t>
      </w:r>
    </w:p>
    <w:p>
      <w:r>
        <w:t>Existing research treats bank capital as a trade-off between tax benefits of debt and failure costs, and separately studies deposit insurance, moral hazard, and capital regulation. Empirical studies typically use reduced-form event studies (difference-in-differences, stress-test shocks) or calibrations based on Merton-style default models. Structural approaches have used either static trade-off models or dynamic models that abstract from deposit-insurance pricing and liquidity premia. Limitations: (1) many models ignore an endogenous deposit insurance premium that depends on bank leverage, (2) tail risk and jump events are often omitted or only heuristically added, (3) depositor behavior and run dynamics are modeled simplistically or not identified from data, and (4) empirical work often lacks loan-level moments and suffers identification problems for insurer-related primitives. There is a gap for an integrated dynamic corporate-finance model that jointly identifies leverage, risk choice, insurer pricing, and depositor run parameters using structural estimation and rich micro data.</w:t>
      </w:r>
    </w:p>
    <w:p>
      <w:r>
        <w:t xml:space="preserve"> </w:t>
      </w:r>
    </w:p>
    <w:p>
      <w:pPr>
        <w:pStyle w:val="Heading2"/>
      </w:pPr>
      <w:r>
        <w:t>Abstract</w:t>
      </w:r>
    </w:p>
    <w:p>
      <w:r>
        <w:t>We study optimal bank capital by building a dynamic corporate-finance model that quantifies how equity changes a bank’s weighted average cost of capital (WACC) through tax shields, bankruptcy costs, liquidity premia, and deposit insurance effects. The model has a bank choosing leverage and risk each period, limited liability for shareholders, insured deposits with an endogenous premium, and a continuation (franchise) value for surviving banks. We solve the Bellman problem numerically under two return specifications: Gaussian mean-variance and a jump-diffusion model that captures tail events. We estimate key primitives (risk-shifting parameter, insurer premium sensitivity, bankruptcy cost) by Simulated Method of Moments (SMM) using bank-level and loan-level moments, and validate with staggered policy shocks and event studies. Main contributions: (1) an operational platform linking corporate finance trade-offs to deposit-insurance pricing and run dynamics, (2) identification of how insurance generosity and premium schedules affect leverage and tail risk, and (3) policy counterfactuals showing welfare and fiscal cost trade-offs. Expected outcome: a replicated, policy-relevant mapping from primitives to observable bank moments.</w:t>
      </w:r>
    </w:p>
    <w:p>
      <w:r>
        <w:t xml:space="preserve"> </w:t>
      </w:r>
    </w:p>
    <w:p>
      <w:pPr>
        <w:pStyle w:val="Heading2"/>
      </w:pPr>
      <w:r>
        <w:t>Experiments</w:t>
      </w:r>
    </w:p>
    <w:p>
      <w:r>
        <w:t>Datasets: bank panel (US Call Reports/FR Y-9C, FDIC, ECB bank filings), loan-level tapes where available (loan type, spread, default), market data (CRSP/Compustat equity, CDS spreads), insurer data (FDIC/insurer payout records), macro controls (GDP, house prices). Baselines: (A) static trade-off model without endogenous deposit insurance premium, (B) dynamic model with Gaussian returns only, (C) reduced-form staggered DiD on capital shocks. Proposed model: full dynamic Bellman with endogenous p(c,ℓ) and jump-diffusion returns. Evaluation metrics: moment fit (root mean squared error of simulated vs observed moments), leverage distribution percentiles, average loan spreads, NPL rates, deposit beta (sensitivity of deposit rates to market rates), default frequency, insurer expected payouts, welfare metric = present value fiscal cost + depositor surplus change. Estimation: Simulated Method of Moments (SMM), objective uses moments: mean and variance of leverage, 10th/50th/90th leverage percentiles, mean loan spread, NPL inflows, deposit beta, Tobin’s Q, insurer payouts; run SMM with GMM standard errors and report SMM objective surface. Numerical setup: equity grid E=300 nodes, controls ℓ and θ grids=60 each, Monte Carlo paths 10,000 baseline, 100,000 for tail stats; use antithetic variates and quasi-Monte Carlo. Identification checks: weak-instrument diagnostics (first-stage F, Anderson–Rubin tests), Conley bounds for omitted confounders. Ablations/comparisons: (1) full model vs model with p'(ℓ)=0 to test insurer channel; (2) Gaussian vs jump-diffusion to test tail risk importance; (3) SMM with and without deposit-run moments (high-frequency outflows) to test run identification. Empirical validation: staggered DiD using Basel/CCAR adoption as external checks and synthetic control for top treated banks. Report: estimated parameters, parameter standard errors, simulated vs observed moment plots, policy counterfactual heatmaps.</w:t>
      </w:r>
    </w:p>
    <w:p>
      <w:r>
        <w:t xml:space="preserve"> </w:t>
      </w:r>
    </w:p>
    <w:p>
      <w:pPr>
        <w:pStyle w:val="Heading2"/>
      </w:pPr>
      <w:r>
        <w:t>Risk Factors And Limitations</w:t>
      </w:r>
    </w:p>
    <w:p>
      <w:r>
        <w:t>Data access: loan-level tapes and insurer payout records may be incomplete or restricted, reducing identification of θ and p(c,ℓ). Measurement error: proxies for risk choice θ (loan spreads, NPLs) and deposit beta are noisy and may bias estimates. Identification: parameters that affect the same moments (e.g., p'(ℓ) and bankruptcy cost κ) may be weakly identified, requiring weak-IV robust inference; SMM objective may be flat in some directions. Model misspecification: depositor expectations (rational vs bounded) or omitted strategic interactions could change dynamics and produce multiple equilibria. Computation: solving the Bellman problem with fine grids and high Monte Carlo counts is compute-heavy and may not scale without parallelization. External validity: calibrated results may not generalize across countries with different DI regimes, market structure, or resolution frameworks. Tail inference: rare jump events require very large simulation draws to estimate insurer fiscal costs precisely, increasing runtime and Monte Carlo error.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