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sustained_cs_revenue</w:t>
      </w:r>
    </w:p>
    <w:p>
      <w:r>
        <w:t xml:space="preserve"> </w:t>
      </w:r>
    </w:p>
    <w:p>
      <w:pPr>
        <w:pStyle w:val="Heading2"/>
      </w:pPr>
      <w:r>
        <w:t>Title</w:t>
      </w:r>
    </w:p>
    <w:p>
      <w:r>
        <w:t>Dynamic difference-in-differences and instrumental-variables analysis of sustained customer satisfaction effects on bank revenue</w:t>
      </w:r>
    </w:p>
    <w:p>
      <w:r>
        <w:t xml:space="preserve"> </w:t>
      </w:r>
    </w:p>
    <w:p>
      <w:pPr>
        <w:pStyle w:val="Heading2"/>
      </w:pPr>
      <w:r>
        <w:t>Short Hypothesis</w:t>
      </w:r>
    </w:p>
    <w:p>
      <w:r>
        <w:t>A sustained one-point increase in customer satisfaction causes a positive increase in individual-level bank revenue growth that persists over one to four years.</w:t>
      </w:r>
    </w:p>
    <w:p>
      <w:r>
        <w:t xml:space="preserve"> </w:t>
      </w:r>
    </w:p>
    <w:p>
      <w:pPr>
        <w:pStyle w:val="Heading2"/>
      </w:pPr>
      <w:r>
        <w:t>Related Work</w:t>
      </w:r>
    </w:p>
    <w:p>
      <w:r>
        <w:t>Prior work links customer satisfaction to firm revenue using quasi-experimental and experimental designs. Common approaches include two-way fixed effects difference-in-differences (DiD) (comparing treated and control units before and after changes), event-study analyses (tracing dynamics around an event), instrumental-variables (IV) designs (using external shocks as substitutes for the treatment), and panel-dynamic estimators like system GMM (a method for dynamic panels that uses lagged variables as instruments). Limitations remain: standard DiD with staggered adoption can be biased when treatment timing varies across units (timing heterogeneity); many IV studies face weak instruments or unclear exclusion restrictions (instrument may affect revenue directly, not only via satisfaction); measurement error and survey nonresponse bias customer-satisfaction (CS) signals; spillovers across branches or customer networks can violate no-interference assumptions; and few-cluster or unbalanced-cluster settings create fragile inference (standard errors may be invalid). These unresolved issues reduce confidence in long-run, individual-level causal estimates.</w:t>
      </w:r>
    </w:p>
    <w:p>
      <w:r>
        <w:t xml:space="preserve"> </w:t>
      </w:r>
    </w:p>
    <w:p>
      <w:pPr>
        <w:pStyle w:val="Heading2"/>
      </w:pPr>
      <w:r>
        <w:t>Abstract</w:t>
      </w:r>
    </w:p>
    <w:p>
      <w:r>
        <w:t>This project measures whether sustained improvements in customer satisfaction (CS) causally raise bank revenue and how large that effect is over one to four years. We link individual survey responses to objective bank records for a retail customer panel and exploit exogenous, staggered operational changes (for example, timed IT/CRM upgrades or unplanned outages) as instruments for CS. We use modern staggered-adoption estimators (methods that correct bias when units adopt treatments at different times) and IV estimation to recover local causal effects, and we map revenue dynamics with local projections (a simple way to estimate impulse-response over horizons). Main contributions: a pre-registered identification and inference protocol that addresses timing heterogeneity, few-cluster inference, measurement error in CS (via Bayesian and SIMEX approaches), and spillovers; and policy-ready long-run elasticities and present-value revenue gains per unit CS. Expected outcome: robust, reproducible estimates of sustained CS-to-revenue multipliers usable for ROI and investment decisions.</w:t>
      </w:r>
    </w:p>
    <w:p>
      <w:r>
        <w:t xml:space="preserve"> </w:t>
      </w:r>
    </w:p>
    <w:p>
      <w:pPr>
        <w:pStyle w:val="Heading2"/>
      </w:pPr>
      <w:r>
        <w:t>Experiments</w:t>
      </w:r>
    </w:p>
    <w:p>
      <w:r>
        <w:t>Datasets: (1) customer-level panel of 19,060 Swedish retail customers with repeated CS surveys (NPS/CSAT) and demographics; (2) bank administrative panel with monthly branch- and product-level revenue (deposits, loans, fees) for 5+ years; (3) auxiliary records of treatments/rollouts (IT/CRM upgrade dates), IT outage logs, weather and local-market controls, and competitor entries. Baselines: (A) pooled OLS and two-way fixed effects (TWFE) DiD; (B) dynamic FE with lagged revenue; (C) system GMM for dynamic panels; (D) 2SLS IV using rollout indicator Z_it; (E) modern staggered estimators (Sun &amp; Abraham; Callaway &amp; Sant’Anna). Evaluation metrics: point estimate of CS effect on log(revenue) (beta), cumulative impulse-response at horizons h = 0..24 months, long-run multiplier = cumulative beta/(1-rho) where rho is lagged revenue coefficient, first-stage F-statistic, 95% confidence intervals, p-values, treatment-on-treated LATE, mean squared error for predictive churn models, AUROC for churn classification. Experimental setup: pre-register K=12 monthly lags (sensitivity to 24), cluster standard errors at branch or market level, implement wild-cluster (Rademacher) bootstrap and permutation tests for 10–50 clusters. Event-study window: [-24,+24] months with placebo leads and pre-trend tests. Comparison/ablation studies: (1) TWFE vs Sun &amp; Abraham vs Callaway &amp; Sant’Anna to show staggered-adoption bias; (2) 2SLS IV vs reduced-form DiD to compare IV/LATE vs intent-to-treat; (3) measurement-error ablation: naive CS vs SIMEX correction vs Bayesian latent CS (explain: SIMEX simulates added noise to correct bias; Bayesian latent model treats true CS as hidden variable). Power/MDE examples: with SD(log revenue)=0.15 and ICC=0.05, 80 clusters detect ≈1.0% effect at 80% power; report MDE grids varying ICC (0.02–0.20), cluster size skew, and uptake (100%, 50%, 25%). Diagnostics and outputs: first-stage partial R^2, balance tests, Conley sensitivity grid for direct IV effects, event-study plots, and replication code with seeds.</w:t>
      </w:r>
    </w:p>
    <w:p>
      <w:r>
        <w:t xml:space="preserve"> </w:t>
      </w:r>
    </w:p>
    <w:p>
      <w:pPr>
        <w:pStyle w:val="Heading2"/>
      </w:pPr>
      <w:r>
        <w:t>Risk Factors And Limitations</w:t>
      </w:r>
    </w:p>
    <w:p>
      <w:r>
        <w:t>Instrument invalidity: rollout or outage indicators may violate exclusion (they could affect revenue directly through operations or marketing). Weak instruments: first-stage may be weak, producing unstable IV estimates. Staggered-adoption bias: improperly corrected TWFE can give misleading dynamic estimates. Measurement error and nonresponse: survey CS is noisy and may be nonrandomly missing, biasing estimates. Spillovers and interference: customers or branches may share effects, violating no-interference and contaminating controls. Few or unbalanced clusters: small number of clusters or skewed cluster sizes can invalidate standard inference. Data linkage and timing mismatch: imperfect matching of surveys to revenue or misaligned monthly vs annual measures can distort dynamics. Generalizability: results from Swedish retail customers and specific operational shocks may not transfer to other countries, bank types, or digital-first channels. Attrition and selection: customer churn or selective survey response over time can bias long-run estimates. Computational/statistical limits: some methods (system GMM, Bayesian latent models, local projections with many horizons) require careful tuning and sufficient T to be reliable.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