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ecb_climate_bank_eventstudy</w:t>
      </w:r>
    </w:p>
    <w:p>
      <w:r>
        <w:t xml:space="preserve"> </w:t>
      </w:r>
    </w:p>
    <w:p>
      <w:pPr>
        <w:pStyle w:val="Heading2"/>
      </w:pPr>
      <w:r>
        <w:t>Title</w:t>
      </w:r>
    </w:p>
    <w:p>
      <w:r>
        <w:t>Intraday event-study of ECB climate-related announcements and their effect on European banks' stock returns</w:t>
      </w:r>
    </w:p>
    <w:p>
      <w:r>
        <w:t xml:space="preserve"> </w:t>
      </w:r>
    </w:p>
    <w:p>
      <w:pPr>
        <w:pStyle w:val="Heading2"/>
      </w:pPr>
      <w:r>
        <w:t>Short Hypothesis</w:t>
      </w:r>
    </w:p>
    <w:p>
      <w:r>
        <w:t>Novel ECB climate-related announcements causally reduce abnormal intraday stock returns of European banks, with larger negative effects for banks with higher pre-event climate exposure.</w:t>
      </w:r>
    </w:p>
    <w:p>
      <w:r>
        <w:t xml:space="preserve"> </w:t>
      </w:r>
    </w:p>
    <w:p>
      <w:pPr>
        <w:pStyle w:val="Heading2"/>
      </w:pPr>
      <w:r>
        <w:t>Related Work</w:t>
      </w:r>
    </w:p>
    <w:p>
      <w:r>
        <w:t>Existing work applies event-study methods to central bank communications and climate policy, finding short-term bank stock repricing after major announcements. Common approaches use daily windows and market models (a simple model that adjusts returns for broad market and sector moves) or cross-sectional regressions linking exposure proxies to abnormal returns. Limitations include low-frequency timing (daily rather than intraday), coarse or inconsistent bank-level climate exposure measures, limited treatment of anticipation and leaks, weak instrument strategies for exposure endogeneity, inadequate microstructure filtering for thinly traded stocks, and incomplete multiplicity correction when testing many windows and outcomes. Prior studies often omit direct mappings from market moves to bank capital (CET1) and do not jointly test multiple causal channels (credit, market, funding, signalling) with prespecified inference rules.</w:t>
      </w:r>
    </w:p>
    <w:p>
      <w:r>
        <w:t xml:space="preserve"> </w:t>
      </w:r>
    </w:p>
    <w:p>
      <w:pPr>
        <w:pStyle w:val="Heading2"/>
      </w:pPr>
      <w:r>
        <w:t>Abstract</w:t>
      </w:r>
    </w:p>
    <w:p>
      <w:r>
        <w:t>We study whether and how ECB climate-related announcements affect European banks' stock valuations using a tightly prespecified intraday event-study. We assemble a timestamped event list of ECB communications and align high-frequency trade data with bank-level climate exposures (portfolio carbon intensity, PCAF-style aggregates, and geospatial physical-risk scores). Our approach estimates cumulative abnormal returns (CARs) in a primary intraday window (-30 minutes to +120 minutes) and links cross-sectional CAR variation to banks' exposures using IV (regional industry mix, distance-weighted thermal capacity, and historical extreme-weather incidence) and staggered difference-in-differences for medium-run checks. Main contributions are (1) intraday identification with microstructure filters, (2) a clear instrument strategy with preplanned diagnostics, (3) measurement-error simulations and imputation rules, and (4) translation of CARs into CET1 and funding-cost implications. Expected outcome: credible estimates of short-run repricing and heterogeneity by exposure that inform supervisory signalling and collateral-policy debates.</w:t>
      </w:r>
    </w:p>
    <w:p>
      <w:r>
        <w:t xml:space="preserve"> </w:t>
      </w:r>
    </w:p>
    <w:p>
      <w:pPr>
        <w:pStyle w:val="Heading2"/>
      </w:pPr>
      <w:r>
        <w:t>Experiments</w:t>
      </w:r>
    </w:p>
    <w:p>
      <w:r>
        <w:t>Datasets: (1) intraday trade-and-quote prices for listed European banks (timestamped trades) from a market data provider; (2) daily adjusted equity prices and sector/market indices (STOXX Europe 600 Banks, EURO STOXX 50); (3) bank fundamentals and regulatory items (Tangible Common Equity, RWA, liquidity ratios) from regulatory filings; (4) bank climate exposures: PCAF-style portfolio carbon intensity, share of loans to high-carbon sectors, EU Taxonomy scores; (5) geospatial physical-risk indices (flood, heat, storm) mapped to bank lending footprints; (6) ECB textual releases and press timestamps. Baselines: (A) daily market-model event-study (standard benchmark); (B) intraday event-study without exposure interaction; (C) continuous-exposure cross-sectional OLS. Primary metrics: cumulative abnormal return (CAR) in intraday window (expressed in percentage points), t-stat and robust p-value, Romano-Wolf adjusted p-values, first-stage F-stat and partial R2 (IV relevance), Anderson-Rubin confidence intervals, change in CDS spreads (basis points), and implied ΔCET1 = −ΔMarketCap/RWA (percentage-point CET1 change). Primary experimental setup: estimate CAR_{i,e,w} via factor-adjusted intraday market model; cross-sectional regression CAR = α + β (Exposure × Novel) + controls + country FE + event FE; cluster standard errors two-way (bank and event-date) and report wild-cluster bootstrap p-values. IV setup: instrument Exposure with Z (regional industry mix, thermal capacity, extreme-weather frequency) and instrument the interaction by Z×Novel; report first-stage diagnostics and AR CIs. Robustness and ablations: (1) remove instruments and run OLS; (2) balanced-sample (drop imputed exposures) vs imputed-sample; (3) alternative intraday windows [-10,+60], daily [-1,+1]; (4) alternative exposure proxies (continuous vs binary high-exposure splits); (5) placebo pseudo-events and pre-event lead tests; (6) staggered DiD (Sun &amp; Abraham / Callaway &amp; Sant'Anna) for medium-run checks. Power analysis: simulate MDEs using empirical within-event return covariance and actual event/bank incidence, report MDE tables under exclusion rules for overlapping events.</w:t>
      </w:r>
    </w:p>
    <w:p>
      <w:r>
        <w:t xml:space="preserve"> </w:t>
      </w:r>
    </w:p>
    <w:p>
      <w:pPr>
        <w:pStyle w:val="Heading2"/>
      </w:pPr>
      <w:r>
        <w:t>Risk Factors And Limitations</w:t>
      </w:r>
    </w:p>
    <w:p>
      <w:r>
        <w:t>Measurement error in bank climate exposures (annual reports lag, inconsistent disclosures) that may bias estimates toward zero; limited availability or proprietary nature of high-frequency trade data and granular loan footprints; thin trading and microstructure noise for some bank stocks causing unreliable intraday CARs; anticipation and information leakage before official timestamps that invalidate short windows; confounding firm-level news (earnings, M&amp;A) and concurrent macro announcements within ±24h that create identification risk; weak instruments or violations of exclusion restrictions (instruments affecting returns through channels other than climate exposure); small effective sample size if few novel ECB events or many events overlap, reducing statistical power; results characterize short-run market reactions and may not generalize to long-run credit or real-economy outcomes; LATE interpretation of IV estimates applies only to banks whose exposure is shifted by the chosen instruments (local effect, not average effect).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