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eu_funds_tfp_spatial_temporal</w:t>
      </w:r>
    </w:p>
    <w:p>
      <w:r>
        <w:t xml:space="preserve"> </w:t>
      </w:r>
    </w:p>
    <w:p>
      <w:pPr>
        <w:pStyle w:val="Heading2"/>
      </w:pPr>
      <w:r>
        <w:t>Title</w:t>
      </w:r>
    </w:p>
    <w:p>
      <w:r>
        <w:t>Panel causal and spatial analysis of how EU cohesion funds affect regional total factor productivity growth over time</w:t>
      </w:r>
    </w:p>
    <w:p>
      <w:r>
        <w:t xml:space="preserve"> </w:t>
      </w:r>
    </w:p>
    <w:p>
      <w:pPr>
        <w:pStyle w:val="Heading2"/>
      </w:pPr>
      <w:r>
        <w:t>Short Hypothesis</w:t>
      </w:r>
    </w:p>
    <w:p>
      <w:r>
        <w:t>Higher real EU fund disbursements per capita to a NUTS2 region causally increase that region's total factor productivity (TFP) growth over the next five years, conditional on observed covariates and fixed effects.</w:t>
      </w:r>
    </w:p>
    <w:p>
      <w:r>
        <w:t xml:space="preserve"> </w:t>
      </w:r>
    </w:p>
    <w:p>
      <w:pPr>
        <w:pStyle w:val="Heading2"/>
      </w:pPr>
      <w:r>
        <w:t>Related Work</w:t>
      </w:r>
    </w:p>
    <w:p>
      <w:r>
        <w:t>Existing empirical work compares regions using difference-in-differences, instrumental variables, synthetic control, and spatial econometric methods to estimate the regional effects of public funds on productivity. Common approaches use two-way fixed effects (TWFE) event studies, fuzzy regression discontinuity around eligibility cutoffs, predicted-allocation (leave-out) instruments, and spatial lag/error models. Limitations remain: TWFE can be biased under staggered or continuous treatment timing; eligibility RD applies only near cutoffs and is local; predicted-allocation instruments risk omitted-variable correlation if predictors are incomplete; spatial models often assume a fixed neighbor structure and may not fully capture long-range spillovers; TFP measurement choices (Solow residual, Törnqvist, KLEMS) create sensitivity; and many studies lack pre-registered sensitivity bounds, formal weak-instrument rules, or mapped power calculations for policy-relevant effect sizes.</w:t>
      </w:r>
    </w:p>
    <w:p>
      <w:r>
        <w:t xml:space="preserve"> </w:t>
      </w:r>
    </w:p>
    <w:p>
      <w:pPr>
        <w:pStyle w:val="Heading2"/>
      </w:pPr>
      <w:r>
        <w:t>Abstract</w:t>
      </w:r>
    </w:p>
    <w:p>
      <w:r>
        <w:t>This study measures how European Structural and Investment Funds change regional productivity dynamics across space and time. We construct annual regional total factor productivity (TFP) that accounts for heterogeneous capital accumulation using a perpetual-inventory method and harmonized regional accounts for NUTS2 regions (1995–2020). Causal identification exploits continuous-treatment panel designs (funds per capita), event-study estimators robust to staggered timing, quasi-experimental thresholds (fuzzy RD), leave-out predicted-allocation instruments, and political-timing instruments, combined with local-projection IVs to map dynamic responses. Spatial dependence and spillovers are estimated with spatial Durbin and dynamic spatial models using multiple neighbor matrices. We pre-specify falsification batteries, weak-instrument diagnostics, power/MDE calculations, and a reproducible data pipeline. The main contribution is a triangulated, pre-registered estimate of direct and indirect (spillover) effects of ERDF, ESF, CF and EAFRD funds on regional TFP growth, reported as elasticities and cumulative impacts over 1–10 year horizons. Expected outcomes include quantified dynamic multipliers, spatial diffusion patterns, and policy-scale cost-effectiveness metrics.</w:t>
      </w:r>
    </w:p>
    <w:p>
      <w:r>
        <w:t xml:space="preserve"> </w:t>
      </w:r>
    </w:p>
    <w:p>
      <w:pPr>
        <w:pStyle w:val="Heading2"/>
      </w:pPr>
      <w:r>
        <w:t>Experiments</w:t>
      </w:r>
    </w:p>
    <w:p>
      <w:r>
        <w:t>Datasets: annual panel at NUTS2 (preferred) covering 1995–2020 with: (1) EU funds by program type (ERDF, ESF, CF, EAFRD) as commitments, disbursements, and absorption rates (real euros); (2) regional value added, employment, sector output, gross fixed capital formation for PIM capital series; (3) covariates: population, education share, urbanization, institutional quality, distance to capital; (4) spatial shapes for W matrices (contiguity, inverse-distance, k-nearest). Baselines: (A) TWFE panel FE; (B) staggered-event-study (Sun &amp; Abraham; Callaway &amp; Sant’Anna) for binary eligibility; (C) continuous-treatment FE and dose–response; (D) IV: fuzzy RD at 0.75 GDPpc cutoff, PredFund leave-out instrument (estimated by OLS, Lasso, XGBoost with spatial block CV), and PolitAlign×NationalEnvelope instrument; (E) local-projection IV (LP-IV) for horizons up to 10 years; (F) spatial models: SDM/DSDM and spatial IV (instrument neighbors’ funds with neighbors’ PredFund); (G) SCM for high-shock regions. Evaluation metrics: primary estimand = cumulative %TFP change per €1000 per capita and per 1% GDP funding; report 1/5/10-year cumulative impacts, standard errors, p-values, event-study lead coefficients (pre-trend tests), first-stage F-stat, partial R2, Anderson–Rubin/CLR where needed, SCM MSPE and placebo p-values. Experimental setup: cluster SEs at NUTS2 (also country/program clusters), use wild cluster bootstrap if clusters &lt;50, Conley spatial HAC as sensitivity; RD uses CCT and Imbens–Kalyanaraman bandwidth selectors and triangular kernel; PredFund uses leave-one-region-out predicted shares and spatially-blocked CV. Ablations: (1) TFP measure: Solow (baseline) vs Törnqvist vs KLEMS; (2) instrument set: PredFund-only vs PolitAlign-only vs RD-only; (3) spatial W: contiguity vs inverse-distance vs kNN; compare point estimates, significance, and robustness across ablations.</w:t>
      </w:r>
    </w:p>
    <w:p>
      <w:r>
        <w:t xml:space="preserve"> </w:t>
      </w:r>
    </w:p>
    <w:p>
      <w:pPr>
        <w:pStyle w:val="Heading2"/>
      </w:pPr>
      <w:r>
        <w:t>Risk Factors And Limitations</w:t>
      </w:r>
    </w:p>
    <w:p>
      <w:r>
        <w:t>Instrument invalidity: candidate instruments (PredFund, PolitAlign, RD) may correlate with unobserved regional shocks, undermining causal claims (instrument exclusion failure). Weak instruments: first-stage F-statistics may be low, yielding weak-IV bias. TFP measurement error: capital stock construction (perpetual-inventory) and inconsistent national accounts can bias Solow residuals. Data gaps and boundary changes: NUTS reclassifications and missing program-level disbursements reduce sample consistency. Spatial interference: real spillovers may extend beyond predefined W matrices, violating partial-interference assumptions. SCM limits: donor pool overlap and small-number treated regions reduce placebo power. Statistical power: subgroup and heterogeneous-effect tests may be underpowered given cluster counts. GDPR and restricted data: legal limits may prevent open sharing of microdata and require secure enclaves (limiting replication). Computational scale: LP-IV, spatial IV, and ML-based PredFund estimation are compute-intensive for full panels. External validity: results generalize to EU NUTS2 context and historical funding periods only and may not apply to different program designs or future cycles.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