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cr_fcfl_relax_and_fix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Relax-and-fix heuristic and strengthened mixed-integer formulations for capacitated reliable fixed-charge facility location problems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knapsack-cover and flow-cover strengthening with a customer-clustered relax-and-fix heuristic will reduce the average optimality gap and CPU time versus a full MIP or standard Benders/L-shaped method on scenario-based capacitated reliable fixed-charge facility location instances.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include: (1) deterministic capacitated fixed-charge facility location models solved by mixed-integer programming (MIP); (2) two-stage stochastic and robust extensions that add scenario-specific recourse decisions; (3) decomposition methods such as Benders (L-shaped) and Lagrangian approaches; and (4) heuristic/matheuristic methods including relax-and-fix variants. Strengthening techniques used previously are knapsack-cover and flow-cover cuts derived for classical facility and knapsack problems. Limitations in current methods are: poor scalability when many disruption scenarios are present, weak LP relaxations due to big-M or loose linking constraints, insufficient treatment of fractional first-stage (y) and recourse (z) variables when generating covers, ad-hoc or unproven lifting procedures for cover coefficients, and limited reproducibility and standardized benchmarks for reliability-focused instances. Practical gaps remain in exact separation complexity, safe linearizations for conditional (y/z) cuts, and empirical evaluation of block designs and cut pools in relax-and-fix workflows.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the capacitated reliable fixed-charge facility location problem (CR-FCFL) where facilities can fail under scenario-based disruptions and limited recourse (emergency reopening or capacity increases) is allowed. We propose a compact non-linear two-stage formulation and its linearized MIP, strengthened with families of knapsack-cover and flow-cover inequalities adapted to site-dependent failure probabilities and recourse variables. We design a relax-and-fix heuristic that partitions customers into geographically or demand-coherent blocks, enforces integrality on block-related facility opening variables, and propagates fixes while separating covers and lifted cuts inside blocks. Main contributions are: (i) a precise specification of cover families that account for first-stage and recourse openings, (ii) an implementable sequential lifting routine (DP/IP) for computing tightened coefficients with explicit rounding rules, and (iii) a block-scheduling relax-and-fix driver with cut-pool management for reproducible experiments. Expected outcome: substantially tighter LP bounds, faster time-to-high-quality solutions on moderate and large scenario sets, and a reproducible set of instance generators and benchmarks for future research. (Technical terms: 'relax-and-fix' means solving parts of the integer model to integer values while relaxing others; 'knapsack-cover' cuts forbid impossible combinations of assigned demands that exceed capacity.)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tiny verification instances (|I|≤10, |J|≤5) for unit tests; (2) clustered planar medium instances (|I|≈100, |J|≈20) with spatially clustered customers and heterogeneous capacities; (3) large instances (|I|≈1000, |J|≈200) with demand heterogeneity and correlated failure clusters. Scenario sets: k-failure uniform (k=1..5), correlated cluster failures, and SAA-generated samples for expectation/CVaR objectives with sample sizes n∈{100,500,2000}. Instance generator parameters and seeds will be provided. Baselines: (A) full MIP (Gurobi/CPLEX) solving linearized two-stage formulation; (B) L-shaped/Benders decomposition with standard stabilization; (C) greedy facility-opening + local search heuristic. Methods under test: (1) proposed relax-and-fix + covers + lifting; (2) relax-and-fix without covers; (3) relax-and-fix with greedy lifting only; (4) full MIP + covers. Evaluation metrics: optimality gap (%) = (obj_incumbent − obj_best_known)/obj_best_known×100; integrality gap; wall-clock solve time (s) to reach gaps {5%,1%}; average and tail reliability cost components (expected recourse cost, CVaR_0.95); number of cuts added and average cut efficacy (relative gap closed per second). Experimental setup: Gurobi 10.0 or CPLEX equivalent, deterministic seeds, Threads=8, TimeLimit=3600s for medium and 14400s for large, hardware: 16-core, 64GB RAM. Repeats: 10 random seeds per instance for medium, 5 for large; report mean ±95% CI. Ablation studies: (i) compare with/without knapsack-cover and flow-cover to measure gap closure; (ii) compare lifting exact DP vs greedy lifting on a selected subset of critical facilities to measure coefficient quality vs time; (iii) block-design comparison: geographic clustering vs demand-based clustering vs random blocks. Statistical tests: paired Wilcoxon signed-rank for method comparisons and ANOVA for hyperparameter sweeps.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Fractional validity risk: knapsack-cover families may not remain valid or tight when y_j and z_j^s are fractional; conditional activation or disaggregation may require large big-M bounds that weaken LP relaxations. 2) Numerical instability: many added cuts and lifted inequalities can cause LP basis churn and solver numerical issues. 3) Lifting cost: exact sequential lifting via dynamic programming (DP) is pseudo-polynomial in capacity and can be too slow for large capacities; aborting lifts may produce suboptimal coefficients. 4) Separation completeness: greedy separation may miss minimal violated covers under fractional solutions, producing weaker cuts; exact separation has higher worst-case cost. 5) Scenario explosion: large numbers of disruption scenarios increase model size and block solves linearly; SAA sampling may not capture rare-tail events without specialized sampling. 6) Solver and hardware dependence: performance gains rely on advanced solver features (lazy constraints, callbacks) and multi-core machines; results may not generalize to limited compute environments. 7) Generalization limits: methods tuned for site-dependent failures and the chosen block designs may not transfer directly to alternative reliability models (e.g., cascading failures) or to non-geographic assignment costs. 8) Reproducibility burden: producing and validating certificates for exact lifts and separations requires additional test infrastructure and increases development time.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