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true_pricing_presentation_rct</w:t>
      </w:r>
    </w:p>
    <w:p>
      <w:r>
        <w:t xml:space="preserve"> </w:t>
      </w:r>
    </w:p>
    <w:p>
      <w:pPr>
        <w:pStyle w:val="Heading2"/>
      </w:pPr>
      <w:r>
        <w:t>Title</w:t>
      </w:r>
    </w:p>
    <w:p>
      <w:r>
        <w:t>Randomized controlled trial comparing price-presentation formats to guide consumer choice under internalized product externality costs</w:t>
      </w:r>
    </w:p>
    <w:p>
      <w:r>
        <w:t xml:space="preserve"> </w:t>
      </w:r>
    </w:p>
    <w:p>
      <w:pPr>
        <w:pStyle w:val="Heading2"/>
      </w:pPr>
      <w:r>
        <w:t>Short Hypothesis</w:t>
      </w:r>
    </w:p>
    <w:p>
      <w:r>
        <w:t>Displaying an integrated per-product 'true price' that internalizes monetized external costs reduces the purchase probability of high-externality products compared to presenting no externality information.</w:t>
      </w:r>
    </w:p>
    <w:p>
      <w:r>
        <w:t xml:space="preserve"> </w:t>
      </w:r>
    </w:p>
    <w:p>
      <w:pPr>
        <w:pStyle w:val="Heading2"/>
      </w:pPr>
      <w:r>
        <w:t>Related Work</w:t>
      </w:r>
    </w:p>
    <w:p>
      <w:r>
        <w:t>Prior work has evaluated consumer responses to price and attribute labels, opt-out defaults, and social-norm messaging using randomized trials and lab experiments. Existing studies show that labels and defaults can shift choice but often test a single format (for example either a label or a default) and use small or non-representative samples. Research on monetizing externalities (life-cycle assessment, LCA) provides methods to compute per-unit social costs but commonly lacks transparent, auditable benefit-transfer rules and uncertainty quantification. Limitations in current approaches include: narrow comparison sets (few presentation formats), little pre-registered treatment hierarchies or multiplicity control, weak or absent analyses of distributional impacts across income groups, short follow-up windows that do not measure persistence or substitution effects, and insufficient treatment of interference/spillovers between customers. There is also limited integration of monetization uncertainty into behavioral tests, and few implementations that report precise audit-ready monetization provenance.</w:t>
      </w:r>
    </w:p>
    <w:p>
      <w:r>
        <w:t xml:space="preserve"> </w:t>
      </w:r>
    </w:p>
    <w:p>
      <w:pPr>
        <w:pStyle w:val="Heading2"/>
      </w:pPr>
      <w:r>
        <w:t>Abstract</w:t>
      </w:r>
    </w:p>
    <w:p>
      <w:r>
        <w:t>We study how to communicate 'true prices'—retail prices adjusted to include monetized environmental and social externalities—at the point of sale. We propose a pre-registered, six-arm randomized controlled trial that compares (1) no externality information (control), (2) integrated true-price labels, (3) separate social-cost surcharge line items, (4) surcharge framed as a discount offset, (5) opt-out eco-upgrade defaults, and (6) combined label + default. The core contribution is a rigorous, auditable experimental test linking LCA-based per-unit monetization signals with concrete presentation formats and behavioral outcomes. We measure causal effects on product choice share, conversion, basket spend, and equity-relevant welfare proxies, and we pre-specify heterogeneous-treatment analyses by income, price sensitivity, and environmental attitudes. We also propagate monetization uncertainty into treatment signals and report results with uncertainty bands. Expected outcomes include quantified treatment effect sizes across formats, evidence on perceived fairness and trust, and a reproducible protocol for integrating true-price signals into retail systems while documenting distributional impacts.</w:t>
      </w:r>
    </w:p>
    <w:p>
      <w:r>
        <w:t xml:space="preserve"> </w:t>
      </w:r>
    </w:p>
    <w:p>
      <w:pPr>
        <w:pStyle w:val="Heading2"/>
      </w:pPr>
      <w:r>
        <w:t>Experiments</w:t>
      </w:r>
    </w:p>
    <w:p>
      <w:r>
        <w:t>Datasets: (A) online survey experiment pilot with N=1,400 respondents sampled from Denmark and the Netherlands stratified by income quintile and purchase frequency; (B) platform transaction dataset for field pilot (SKU-level sales, timestamps, user pseudonym, basket composition) collected from a retail partner; (C) LCI/LCA per-unit monetization table with uncertainty draws (monte carlo draws for each SKU). Baselines: no-information control; absolute integrated true-price label; separate social-cost surcharge line item (with explicit fund use text); surcharge framed as discount offset; opt-out eco-upgrade default at checkout; combined label + opt-out. Evaluation metrics: primary — product choice share for high-externality SKUs (fraction chosen), 30-day conversion probability (binary), average basket spend; secondary — opt-out rate, comprehension score (quiz), perceived fairness (Likert), trust score, complaint/return rate, retention at 1 and 3 months. Experimental setup: pre-register a balanced 6-arm parallel RCT with random assignment blocked by country and income quintile; intention-to-treat (ITT) as primary estimand; specify GLM family for binary outcomes (logistic regression) and linear model for continuous outcomes; adjust for baseline covariates (baseline conversion rate, prior spend, device type, environmental-attitude index) to improve precision. Power and sample-size: run simulation notebooks using empirical baseline conversion p0 in {1%,5%,10%} and target power 0.8; example sensitivity: with p0=5% detect Δ=+1pp requires ~8,000 per arm (balanced) without clustering; pilot N=1,400 used for comprehension and parameter priors. Heterogeneity and IV: pre-register subgroup tests by income quintile and environmental-attitude tertiles; define compliance (actual exposure: saw label or completed opt-out toggle) and estimate LATE using assignment as instrument with first-stage diagnostics (F-stat&gt;10) and AR/LIML fallbacks for weak-IV. Ablation: compare integrated label vs separate surcharge vs label+opt-out to identify incremental effects; run additional ablation removing monetization uncertainty (point estimate only) vs stochastic signals (show CI band). Spillovers: implement cluster randomization at 1km postal clusters in the field pilot or use exposure-mapping estimators if individual randomization is used; pre-register randomization-inference (RI) for spillover tests. Analysis: pre-specify multiplicity control (hierarchical testing and Holm adjustment), cluster-robust standard errors (cluster = supplier or postal cluster) with small-sample df correction, and Monte Carlo bootstrap for consumer-surplus estimates. Reproducibility: publish pre-analysis code notebooks that reproduce power grid and primary analysis.</w:t>
      </w:r>
    </w:p>
    <w:p>
      <w:r>
        <w:t xml:space="preserve"> </w:t>
      </w:r>
    </w:p>
    <w:p>
      <w:pPr>
        <w:pStyle w:val="Heading2"/>
      </w:pPr>
      <w:r>
        <w:t>Risk Factors And Limitations</w:t>
      </w:r>
    </w:p>
    <w:p>
      <w:r>
        <w:t>Technical failure modes: inaccuracies or gaps in LCI data may produce biased monetization signals; correlated errors between LCI inputs and sales outcomes can confound interpretation. Data and evaluation biases: online samples may not represent in-store shoppers; self-reported attitudes can be noisy. Scalability and compute: propagating uncertainty via Monte Carlo for thousands of SKUs is computationally heavy and may limit real-time price updates. Privacy limits: income-quintile inference and fine-grained heterogeneity require aggregation or differential privacy, which reduces precision. Low compliance: customers may ignore labels or defaults, reducing first-stage strength for LATE estimation. Spillovers and interference: neighborhood or household spillovers complicate causal identification and require cluster designs that reduce statistical power. Supplier responses: reformulation or strategic reporting of LCI data can change signals over time, making time-varying confounding possible. Generalization limits: results from Denmark and the Netherlands may not generalize to markets with different price sensitivity, regulatory environments, or cultural norms. Measurement limits: welfare proxies (consumer-surplus inferred from revealed choice) approximate true welfare and may miss non-monetary harms.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