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markup_product_differentiation_us_airlines</w:t>
      </w:r>
    </w:p>
    <w:p>
      <w:r>
        <w:t xml:space="preserve"> </w:t>
      </w:r>
    </w:p>
    <w:p>
      <w:pPr>
        <w:pStyle w:val="Heading2"/>
      </w:pPr>
      <w:r>
        <w:t>Title</w:t>
      </w:r>
    </w:p>
    <w:p>
      <w:r>
        <w:t>Decomposing annual markups with explicit product differentiation in U.S. airline origin-destination markets using random-coefficients demand and supply first-order conditions</w:t>
      </w:r>
    </w:p>
    <w:p>
      <w:r>
        <w:t xml:space="preserve"> </w:t>
      </w:r>
    </w:p>
    <w:p>
      <w:pPr>
        <w:pStyle w:val="Heading2"/>
      </w:pPr>
      <w:r>
        <w:t>Short Hypothesis</w:t>
      </w:r>
    </w:p>
    <w:p>
      <w:r>
        <w:t>An exogenous increase in within-market product differentiation (for example, a higher share of nonstop flights or improved schedule convenience) causes higher equilibrium per-flight markups by reducing cross-product substitution, holding ownership structure constant.</w:t>
      </w:r>
    </w:p>
    <w:p>
      <w:r>
        <w:t xml:space="preserve"> </w:t>
      </w:r>
    </w:p>
    <w:p>
      <w:pPr>
        <w:pStyle w:val="Heading2"/>
      </w:pPr>
      <w:r>
        <w:t>Related Work</w:t>
      </w:r>
    </w:p>
    <w:p>
      <w:r>
        <w:t>Existing structural demand-and-supply work in air travel commonly uses random-coefficients discrete-choice models (often called BLP, which models heterogeneous tastes across consumers) to recover substitution patterns and implied markups from first-order conditions (FOCs). Separate streams estimate dynamic pricing or reduced-form effects of low-cost-carrier (LCC) entry and mergers. Prior decomposition methods for markups (building on Lovell-style decompositions) do not explicitly treat multidimensional within-market product differentiation as an economic driver of markup changes. Limitations in current approaches include: (1) treating flights or carriers as homogeneous products, which understates quality-driven substitution; (2) using weak or underspecified instruments that risk endogeneity bias; (3) approximating dynamic revenue management with static models without pre-specified diagnostics; (4) poor treatment of ancillary revenues and codeshares that bias base-fare-based markups; and (5) limited protocols for ownership/network uncertainty and computational scalability. These gaps leave open how much markup variation is driven by product-differentiation versus cost or conduct changes.</w:t>
      </w:r>
    </w:p>
    <w:p>
      <w:r>
        <w:t xml:space="preserve"> </w:t>
      </w:r>
    </w:p>
    <w:p>
      <w:pPr>
        <w:pStyle w:val="Heading2"/>
      </w:pPr>
      <w:r>
        <w:t>Abstract</w:t>
      </w:r>
    </w:p>
    <w:p>
      <w:r>
        <w:t>We study how changes in product differentiation within city-pair markets drive airline markups over a twenty-year sample of U.S. carriers. We combine a random-coefficients discrete-choice demand model, which captures heterogeneous passenger tastes and substitution across flight products, with supply first-order conditions under multi-product oligopoly to recover implied markups and marginal costs. The main contribution is a transparent decomposition of annual markup changes that explicitly quantifies the role of product differentiation (for example nonstop share, schedule quality, and cabin mix) separate from cost, ownership, and conduct shifts. We use rich microdata on tickets, schedules, aircraft features, and carrier networks and pre-specify instruments, weak-IV diagnostics, and dynamic-pricing tests. Expected outcomes include credible estimates of how quality changes alter consumer surplus, producer profits, and total welfare, and counterfactuals for mergers, LCC entry, and targeted quality changes. Results aim to inform antitrust review and slot/quality policy by showing when differentiation raises or reduces market power.</w:t>
      </w:r>
    </w:p>
    <w:p>
      <w:r>
        <w:t xml:space="preserve"> </w:t>
      </w:r>
    </w:p>
    <w:p>
      <w:pPr>
        <w:pStyle w:val="Heading2"/>
      </w:pPr>
      <w:r>
        <w:t>Experiments</w:t>
      </w:r>
    </w:p>
    <w:p>
      <w:r>
        <w:t>Datasets: DB1B or DB1A ticket microdata (fare, itinerary, cabin), T-100 capacity and revenue by flight-month, Innovata/OAG schedules (frequency, timings), plane-level features (seat counts, seat pitch), monthly jet fuel prices, airport slot/constraint indicators, carrier-level network variables, and public ancillary revenue aggregates. Sample: 20 largest U.S. carriers, city-pair (O-D) markets, 2000–2020; pilot subset: 5–10 diverse O-Ds (hub-hub, hub-spoke, LCC-dominated). Baselines: (A) standard BLP demand + Bertrand supply with product defined at carrier-route level (no flight differentiation); (B) nested logit supply inversion; (C) static BLP with base fare only (no ancillaries); (D) reduced-form time-bin regression (price on time-to-departure dummies). Proposed method: flight-level random-coefficients demand (BLP), BLP contraction mapping to invert market shares, GMM demand estimation with pre-specified instruments, recovery of marginal costs via supply FOCs and ownership matrix, estimation of conduct parameter theta. Instruments: primary set = rival-route summed characteristics and rival network-cost shifters; secondary set = Hausman-style route prices and slot indicators. Evaluation metrics: percent change in implied markups and Lerner index, RMSE of predicted market shares and prices, first-stage F-statistics (report conditional F), Anderson-Rubin and CLR confidence regions for weak-IV robustness, Hansen J overidentification p-values, bootstrap 90% confidence intervals for markups, and welfare metrics (log-sum consumer surplus differences, producer profit changes, total welfare). Experimental setup: (1) Run pilot static BLP on sampled O-Ds; (2) perform flight fixed-effect regressions of price on time-bin dummies to test static approximation; (3) if static accepted, full BLP estimation and FOC inversion; (4) compute counterfactuals: merger simulation, LCC entry, and an exogenous 10 percentage-point increase in nonstop share; (5) run ablation studies: remove ancillaries (compare base fare vs base+imputed ancillaries), drop rival instruments, and replace primary instruments with secondary set; (6) compute ownership uncertainty bands via Dirichlet-multinomial draws and propagate through FOC inversion. Inference: block-bootstrap over markets for standard errors; report LIML and AR/CLR when weak instruments are detected. Reporting: pre-specified first-stage F threshold, Conley prior choices, and dynamic-vs-static trigger statistics included in output.</w:t>
      </w:r>
    </w:p>
    <w:p>
      <w:r>
        <w:t xml:space="preserve"> </w:t>
      </w:r>
    </w:p>
    <w:p>
      <w:pPr>
        <w:pStyle w:val="Heading2"/>
      </w:pPr>
      <w:r>
        <w:t>Risk Factors And Limitations</w:t>
      </w:r>
    </w:p>
    <w:p>
      <w:r>
        <w:t>Measurement and data: DB1B is a sample and may truncate high-frequency fare variation; ancillaries are imputed from aggregate reports and may be mismeasured, biasing markups. Instrument validity: rival-route and network-cost instruments may affect demand directly through correlated unobserved quality or demand shocks; lead/placebo tests may have limited power. Dynamic pricing: if revenue management effects are strong and nonstationary, the static BLP approximation will misstate markups; structural dynamic models are computationally heavy. Identification: key identification relies on quasi-experiments (LCC entry, slot changes, mergers) that may be endogenous or rare, reducing robustness. Ownership and codeshares: ambiguous mapping of tickets to ultimate economic owners can bias multi-product FOC inversion and welfare splits. Computation and scalability: BLP with flight-level products across many markets is compute-intensive and may require large clusters; runtime limits may force sampling. External validity: results on U.S. O-Ds may not generalize to other countries or time periods with different regulation and fare structures. Statistical: weak instruments, correlated shocks, or seat-allocation censoring can produce wide confidence intervals or partial identification rather than point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