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epistemic_virtue_structures</w:t>
      </w:r>
    </w:p>
    <w:p>
      <w:r>
        <w:t xml:space="preserve"> </w:t>
      </w:r>
    </w:p>
    <w:p>
      <w:pPr>
        <w:pStyle w:val="Heading2"/>
      </w:pPr>
      <w:r>
        <w:t>Title</w:t>
      </w:r>
    </w:p>
    <w:p>
      <w:r>
        <w:t>Mixed-method cluster-randomized and agent-based investigation of how individual and collective epistemic virtues affect scientific reliability</w:t>
      </w:r>
    </w:p>
    <w:p>
      <w:r>
        <w:t xml:space="preserve"> </w:t>
      </w:r>
    </w:p>
    <w:p>
      <w:pPr>
        <w:pStyle w:val="Heading2"/>
      </w:pPr>
      <w:r>
        <w:t>Short Hypothesis</w:t>
      </w:r>
    </w:p>
    <w:p>
      <w:r>
        <w:t>Strengthening collective transparency norms increases the positive effect of individual intellectual humility on scientific replication success rates.</w:t>
      </w:r>
    </w:p>
    <w:p>
      <w:r>
        <w:t xml:space="preserve"> </w:t>
      </w:r>
    </w:p>
    <w:p>
      <w:pPr>
        <w:pStyle w:val="Heading2"/>
      </w:pPr>
      <w:r>
        <w:t>Related Work</w:t>
      </w:r>
    </w:p>
    <w:p>
      <w:r>
        <w:t>Two broad literatures are directly relevant. First, virtue epistemology and individual-difference research measure personal dispositions (e.g., intellectual humility, curiosity, conscientiousness) and develop self-report scales and task-based measures; these studies often validate psychometrics but typically focus on individuals and do not link traits to institutional outcomes. Second, social-epistemic and science-of-science work emphasizes structural explanations—network topology, incentives, open-data policies, and peer-review norms—and uses observational analyses and computational models (including agent-based models) to study collective reliability. Existing approaches are limited in three ways: (1) they often treat individual dispositions and collective structures separately instead of testing interactions; (2) empirical intervention studies of institutional norms are rare and underpowered, with weak pre-registered identification strategies for interference/spillover; (3) computational models are frequently not tightly calibrated to multi-method empirical measurements, and privacy-safe handling of node-level network data is underdeveloped. These gaps leave unresolved whether and when individual virtues matter causally given robust collective structures.</w:t>
      </w:r>
    </w:p>
    <w:p>
      <w:r>
        <w:t xml:space="preserve"> </w:t>
      </w:r>
    </w:p>
    <w:p>
      <w:pPr>
        <w:pStyle w:val="Heading2"/>
      </w:pPr>
      <w:r>
        <w:t>Abstract</w:t>
      </w:r>
    </w:p>
    <w:p>
      <w:r>
        <w:t>Scientific reliability depends on both people’s inquiry habits and the systems they work in. We propose a mixed-method program that combines a stepped-wedge cluster-randomized field intervention, a calibrated agent-based model (ABM), and a multi-method measurement battery to test how individual epistemic virtues (e.g., intellectual humility) interact with collective structures (e.g., transparency norms) to produce reliable research outcomes. A stepped-wedge trial will roll out transparency interventions across research teams; the ABM (a simulation where virtual agents hold beliefs and update them) will explore emergence and nonlinearities. The main contribution is an integrated, preregistered pipeline: validated psychometrics plus behavioral tasks, network and policy indicators for collective virtues, randomized causal estimates of interaction effects, and ABM calibration using empirical targets. Expected outcomes include quantified interaction effects (complementarity, substitution, tradeoffs), sensitivity analyses for weighting and missing data choices, and empirically grounded ABM priors to inform policy about which structural changes amplify or substitute for individual virtues. "Agent-based model" means a computer simulation of interacting individuals; "stepped-wedge" means staggered rollout across clusters over time.</w:t>
      </w:r>
    </w:p>
    <w:p>
      <w:r>
        <w:t xml:space="preserve"> </w:t>
      </w:r>
    </w:p>
    <w:p>
      <w:pPr>
        <w:pStyle w:val="Heading2"/>
      </w:pPr>
      <w:r>
        <w:t>Experiments</w:t>
      </w:r>
    </w:p>
    <w:p>
      <w:r>
        <w:t>Overview: Two linked components: (A) field stepped-wedge cluster-randomized trial; (B) calibrated agent-based simulation and ablation studies. A. Field trial: Units = research teams (clusters). Pilot: 10 clusters, 12 clusters preferred, cluster size 10–20 researchers, total pilot N ≈ 120. Rollout: 6 steps (one step per month) with randomized order. Intervention: collective transparency package (open lab notebooks template, structured data-sharing workflow, and public preregistration reminder). Measurement: pre/post individual battery (self-report scales, peer/supervisor ratings, behavioral tasks), continuous digital-trace logging (preregistration events, data/code uploads, time-on-analysis), and institutional metrics (replication attempts, corrections/retractions, time-to-correction). Datasets: existing replication datasets (discipline-specific replication project archives), journal correction/retraction logs, co-authorship and grant collaboration networks from bibliographic databases, forecasting-tournament records for behavioral calibration. Baselines: (1) no-intervention (control) clusters; (2) alternative composite weights (compare original 40/30/30 to 30/30/40 and equal 33/33/33); (3) ABM without emergent trust rules. Primary evaluation metrics: replication success rate (binary), time-to-correction (days), forecasting accuracy (Brier score), updating calibration error (mean calibration gap). Analysis: primary ITT mixed-effects regression with cluster random intercepts, fixed time effects, AR(1) residuals; report clustered SEs, effect sizes, and Benjamini–Hochberg-corrected secondary tests. Interference: predefine exposure mapping by network distance and use randomization-based inference for direct/indirect effects. Missing data: primary analysis uses multiple imputation at item level (MICE ordinal) with sensitivity checks using Bayesian ordinal MI and MNAR tipping-point analyses. Power: simulation grid over ICC ∈ {0.01,0.05,0.10}, cluster sizes 10–20, 1000 reps per cell to estimate detectable d. B. ABM: Agents characterized by virtue scores ∈ [0,1], belief vectors, and update rules (bounded-Bayesian with conservatism parameter; DeGroot averaging; confirmatory-bias heuristic). Network topologies: random, small-world, modular. Calibration: ABC-SMC to match empirical replication rates, time-to-correction distributions, and forecasting Brier scores from pilot. Outputs: convergence to ground truth (distance), variance across runs, sensitivity (Sobol), and regime diagrams identifying phase transitions. Ablations: remove replication-incentive parameter; remove transparency norms; vary composite weightings; compare update rules. Pre-registered diagnostics: calibration tolerance schedule, effective sample size (ESS) thresholds, R-hat ≤ 1.1 for MCMC components, and specified tolerance for ABC acceptance.</w:t>
      </w:r>
    </w:p>
    <w:p>
      <w:r>
        <w:t xml:space="preserve"> </w:t>
      </w:r>
    </w:p>
    <w:p>
      <w:pPr>
        <w:pStyle w:val="Heading2"/>
      </w:pPr>
      <w:r>
        <w:t>Risk Factors And Limitations</w:t>
      </w:r>
    </w:p>
    <w:p>
      <w:r>
        <w:t>Measurement bias: self-report scales can be affected by social desirability and rater bias; peer/supervisor ratings may have low ICC. Missing data: items may be MNAR (not missing at random), which complicates imputation and inference. Contamination and interference: spillovers between clusters can bias stepped-wedge estimates if networks connect clusters; exposure mapping may be incomplete. Non-compliance and attrition: clusters or individuals may not adopt interventions fully, reducing power. Power/sample limits: pilot sizes may only detect large effects; full trials require many clusters. ABM identifiability: multiple parameter sets may produce similar outputs (non-identifiability), limiting causal claims from simulation alone. Computational costs: global sensitivity and ABC calibration can be time and compute intensive. Privacy and utility tradeoff: differential privacy or strong anonymization for network/node data can reduce analytical utility and complicate fine-grained inference. Generalizability: results from specific disciplines or countries may not transfer broadly. Ethical concerns: logging digital traces and behavioral tasks raise consent and re-identification risks for participants.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