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women_tech_gender_germany</w:t>
      </w:r>
    </w:p>
    <w:p>
      <w:r>
        <w:t xml:space="preserve"> </w:t>
      </w:r>
    </w:p>
    <w:p>
      <w:pPr>
        <w:pStyle w:val="Heading2"/>
      </w:pPr>
      <w:r>
        <w:t>Title</w:t>
      </w:r>
    </w:p>
    <w:p>
      <w:r>
        <w:t>Mixed-methods study using qualitative interviews, surveys, NLP, and network analysis to test how women tech founders in Germany construct visibility and how undoing gender affects perceived legitimacy and funding outcomes</w:t>
      </w:r>
    </w:p>
    <w:p>
      <w:r>
        <w:t xml:space="preserve"> </w:t>
      </w:r>
    </w:p>
    <w:p>
      <w:pPr>
        <w:pStyle w:val="Heading2"/>
      </w:pPr>
      <w:r>
        <w:t>Short Hypothesis</w:t>
      </w:r>
    </w:p>
    <w:p>
      <w:r>
        <w:t>Women tech founders in Germany who enact organizational and presentational practices categorized as 'undoing gender' cause higher perceived legitimacy from investors and a higher probability of receiving venture funding within 12 months, controlling for firm stage, sector, and network ties.</w:t>
      </w:r>
    </w:p>
    <w:p>
      <w:r>
        <w:t xml:space="preserve"> </w:t>
      </w:r>
    </w:p>
    <w:p>
      <w:pPr>
        <w:pStyle w:val="Heading2"/>
      </w:pPr>
      <w:r>
        <w:t>Related Work</w:t>
      </w:r>
    </w:p>
    <w:p>
      <w:r>
        <w:t>Prior work divides into three strands: (1) gender theory and qualitative studies that frame gender as performance and document how women manage visibility but are often small-N, cross-sectional, and descriptive; (2) entrepreneurship research that documents a gender funding gap, gendered investor bias, and effects of founder presentation on funding but frequently uses survey-only or experimental vignette methods that miss longitudinal micro-practices; (3) computational social science methods applying NLP and network analysis to founder texts and funding networks but with limited integration of deep qualitative coding and inadequate validation of constructs across subgroups. Limitations across these approaches include weak construct validation (few psychometric tests), limited intersectional sampling (few migrant, caregiving, racialized cases), lack of longitudinal linkage between micro-practices and outcomes, and sparse attention to privacy/synthetic-data trade-offs for network releases.</w:t>
      </w:r>
    </w:p>
    <w:p>
      <w:r>
        <w:t xml:space="preserve"> </w:t>
      </w:r>
    </w:p>
    <w:p>
      <w:pPr>
        <w:pStyle w:val="Heading2"/>
      </w:pPr>
      <w:r>
        <w:t>Abstract</w:t>
      </w:r>
    </w:p>
    <w:p>
      <w:r>
        <w:t>This study tests whether women tech founders in Germany who intentionally enact practices that 'undo gender' gain greater legitimacy and improved funding outcomes. We combine life-history interviews (40–60), longitudinal diaries/voice memos (10–15 repeat contributors), a stratified survey (target N ≈ 400; ≈250 women, ≈150 men), digital traces (LinkedIn, pitch decks, public pitch videos), and funding/network data (Dealroom/Crunchbase) to measure practices, perceptions, and outcomes. We develop validated measures through cognitive interviews and psychometric analysis, train human-in-the-loop NLP classifiers to scale coding of doing/redoing/undoing gender, and compute network metrics to capture relational capital. Analytical methods include Bayesian multilevel models, structural equation models for mediation, and propensity-score adjustments to estimate causal effects. Main contributions are (1) validated measures of gendered founder practices, (2) a mid-level model linking practices to legitimacy and funding, and (3) empirical evidence on whether undoing gender produces measurable changes in investor behavior. Expected impact: evidence-based guidance for accelerators, investors, and policy to support equitable entrepreneurial ecosystems.</w:t>
      </w:r>
    </w:p>
    <w:p>
      <w:r>
        <w:t xml:space="preserve"> </w:t>
      </w:r>
    </w:p>
    <w:p>
      <w:pPr>
        <w:pStyle w:val="Heading2"/>
      </w:pPr>
      <w:r>
        <w:t>Experiments</w:t>
      </w:r>
    </w:p>
    <w:p>
      <w:r>
        <w:t>Datasets: (A) Qualitative: 40–60 life-history interviews, 10–15 repeat interviews, fieldnotes from pitch/accelerator observations, and collected artifacts (pitch decks, LinkedIn bios). (B) Survey: stratified online survey N ≈ 400 founders (≈250 women, ≈150 men) with oversampling targets of mothers, migrant-origin, and racialized founders (min n ≈ 50 per subgroup where feasible). (C) Digital traces and networks: public profiles (LinkedIn/Xing), pitch videos, Dealroom/Crunchbase funding rounds, co-investor and co-founder ties. Baselines: (1) standard covariate-only models (controls: stage, sector, team size, prior exits, regional cluster); (2) matched male-female baseline via propensity-score matching; (3) manual-coded measures without NLP scaling. Measures: primary outcome1: binary indicator of receiving venture funding within 12 months (0/1); primary outcome2: amount of funding (log-transformed); mediator: perceived legitimacy scale (Likert). Predictor: 'undoing_gender' score derived from coded practices (manual codebook aggregation and NLP classifier probability). Validation: exploratory factor analysis (EFA) followed by confirmatory factor analysis (CFA) for scales; measurement invariance tests across gender, stage, and language. Coding reliability: Krippendorff's alpha target ≥0.70. NLP: active-learning human-in-the-loop classifier; evaluation metrics: precision, recall, F1. Network features: degree centrality, brokerage, homophily by gender; computed from Dealroom/Crunchbase and validated against observed ties. Statistical models: (1) Bayesian multilevel logistic regression for funding binary outcome with random intercepts for region and accelerator; (2) Bayesian multilevel linear model for log funding amount; (3) structural equation model (SEM) testing mediation: undoing_gender → perceived_legitimacy → funding; priors: weakly informative normal priors; engine: Stan (via brms) with R-hat &lt;1.05 and effective sample size &gt;200 as convergence checks. Causal adjustments: propensity-score weighting and sensitivity analysis for unobserved confounding (E-value). Comparisons/ablations: A1 compare manual-coded predictor vs NLP-coded predictor (ablation to test automated-label utility); A2 model with and without network features (ablate relational capital); A3 models with and without propensity-score adjustment. Evaluation: report average treatment effect (ATE) estimate and 95% credible intervals for undoing_gender; model fit via LOO-IC (leave-one-out information criterion); classifier F1 and coding Krippendorff's alpha. Reproducibility: containerized analysis scripts, versioned code repository, and pre-registered analysis plan.</w:t>
      </w:r>
    </w:p>
    <w:p>
      <w:r>
        <w:t xml:space="preserve"> </w:t>
      </w:r>
    </w:p>
    <w:p>
      <w:pPr>
        <w:pStyle w:val="Heading2"/>
      </w:pPr>
      <w:r>
        <w:t>Risk Factors And Limitations</w:t>
      </w:r>
    </w:p>
    <w:p>
      <w:r>
        <w:t>Selection bias: gatekeeper-mediated recruitment and low response rates may bias sample toward accelerator-connected founders; this limits causal generalizability. Measurement error: self-report scales and automated NLP classifiers may mislabel subtle performative practices; psychometric and reliability checks may still leave residual error. Small subgroup sizes: key intersectional groups (racialized founders, disabled founders) may remain underpowered for quantitative inference. Causal identification limits: unobserved confounders (e.g., prior investor relationships, unmeasured performance signals) can bias estimated effects despite propensity adjustments; sensitivity analysis cannot prove causality. Privacy and re-identification risk: network and text data are hard to fully anonymize; synthetic-data methods with differential privacy may reduce utility and require careful pilot tuning (privacy parameter epsilon may force low utility). Computational limits: Bayesian multilevel and network models with rich predictors and large posterior draws need substantial compute and can be slow to converge. Context limits: findings are specific to the German tech ecosystem and may not generalize to other countries or non-tech sectors. Ethical risk: interviews may surface sensitive disclosures requiring rapid redaction and participant support; operational burdens may be high.</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