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santander_export_growth_analysis</w:t>
      </w:r>
    </w:p>
    <w:p>
      <w:r>
        <w:t xml:space="preserve"> </w:t>
      </w:r>
    </w:p>
    <w:p>
      <w:pPr>
        <w:pStyle w:val="Heading2"/>
      </w:pPr>
      <w:r>
        <w:t>Title</w:t>
      </w:r>
    </w:p>
    <w:p>
      <w:r>
        <w:t>A mixed-methods analysis using multivariate regression and randomized market pilots to identify drivers of export firm growth in Santander, Colombia</w:t>
      </w:r>
    </w:p>
    <w:p>
      <w:r>
        <w:t xml:space="preserve"> </w:t>
      </w:r>
    </w:p>
    <w:p>
      <w:pPr>
        <w:pStyle w:val="Heading2"/>
      </w:pPr>
      <w:r>
        <w:t>Short Hypothesis</w:t>
      </w:r>
    </w:p>
    <w:p>
      <w:r>
        <w:t>Assigning firms to a data-driven market-entry package (targeted market selection, certification readiness, and distributor consignment/payment pilots) causes higher export revenue growth over 12 months than firms receiving standard export support.</w:t>
      </w:r>
    </w:p>
    <w:p>
      <w:r>
        <w:t xml:space="preserve"> </w:t>
      </w:r>
    </w:p>
    <w:p>
      <w:pPr>
        <w:pStyle w:val="Heading2"/>
      </w:pPr>
      <w:r>
        <w:t>Related Work</w:t>
      </w:r>
    </w:p>
    <w:p>
      <w:r>
        <w:t>Prior research on export growth combines firm-level regression analysis and macro trade statistics to link firm characteristics (size, productivity, certification) to export performance. Other work models trade policy risk and logistics shocks using time-series or scenario methods. Typical approaches are limited by cross-sectional designs, weak causal identification, small or convenience samples, and by treating shocks (tariffs, FX, logistics) independently rather than jointly. Studies that run field experiments in export markets are scarce and often underpowered or unreplicated. Trade-risk modeling often lacks integration with firm-level operational experiments and rarely publishes reproducible backtests or full code. These gaps leave unresolved questions about causal effectiveness of coordinated market-selection plus distributor/payment interventions and about how joint policy-logistics-FX shocks change realized export margins and pilot success rates.</w:t>
      </w:r>
    </w:p>
    <w:p>
      <w:r>
        <w:t xml:space="preserve"> </w:t>
      </w:r>
    </w:p>
    <w:p>
      <w:pPr>
        <w:pStyle w:val="Heading2"/>
      </w:pPr>
      <w:r>
        <w:t>Abstract</w:t>
      </w:r>
    </w:p>
    <w:p>
      <w:r>
        <w:t>This project analyzes which variables cause export-firm growth in Santander, Colombia by combining archival trade and customs data, a decade of firm financial records, econometric modeling, correlated stress simulations, and randomized field pilots. We propose (1) multivariate and panel regression analysis of 2010–2020 trade and firm-level data to estimate associations between firm traits (capacity, certifications, product mix) and export growth; (2) reproducible backtests and a correlated Monte Carlo stress suite (copula-based) calibrated to historical tariff, non-tariff measure, FX and logistics episodes to measure tail risks to landed margins; and (3) preregistered randomized A/B distributor and pricing pilots to test causal impacts of market selection, certification readiness, and payment-term variants on conversion-to-trial and early repeat orders. Main contributions are an auditable pipeline linking policy-risk scenarios to firm-level experiments, numeric decision gates for go/no-go, and open artifacts (episode lists, code stubs, power templates). Expected outcome is quantifiable evidence on actionable interventions that increase short-term export revenue and de-risk scale decisions under joint shock scenarios.</w:t>
      </w:r>
    </w:p>
    <w:p>
      <w:r>
        <w:t xml:space="preserve"> </w:t>
      </w:r>
    </w:p>
    <w:p>
      <w:pPr>
        <w:pStyle w:val="Heading2"/>
      </w:pPr>
      <w:r>
        <w:t>Experiments</w:t>
      </w:r>
    </w:p>
    <w:p>
      <w:r>
        <w:t>Datasets: (a) UN Comtrade and ITC TradeMap extracts for partner markets (2010–2020) with HS6 harmonization; (b) national customs and port-level transit time records where available; (c) firm-level financials and production capacity for 128 exporting firms from Santander (2010–2020); (d) regional opportunity map indicators; (e) primary survey and interview data from buyers (target n per top market specified below); (f) pilot order and logistics cost records. Baselines: (1) OLS cross-sectional regressions on final-year growth; (2) panel fixed-effects regression with firm and year effects; (3) difference-in-differences where applicable; (4) non-randomized matching (propensity-score) as observational comparator. Primary evaluation metrics: annual export revenue growth rate (%), conversion-to-trial (binary), landed unit margin (USD per unit), repeat-order rate at 90 days (%), time-to-first-trial (days). Regression setup: growth_it = alpha + X_it beta + PolicyShock_t gamma + FirmFE_i + YearFE_t + e_it, where X includes capacity utilization, certification status (binary), product mix, and market-fit score. Experimental pilot design: randomized at distributor or buyer-cluster level; arms include (A) standard outreach, (B) targeted market-entry package (market shortlist + certification readiness support), (C) package + payment-term (consignment vs prepaid). Randomization unit: distributor contact; stratify by buyer type and market. Sample sizes: for binary conversion detect 10 pp MDE with 80% power at alpha 0.05 require ≈170 unclustered per arm; account for clustering with ICC=0.05 and cluster size m=10 → design effect ≈1.45 → ≈247 per arm. Pre-register analysis plan with primary outcomes and intent-to-treat (ITT) estimators. Multiplicity: control false discovery rate with Benjamini–Hochberg for secondary outcomes and Bonferroni for primary confirmatory tests. Stress testing: fit GARCH(1,1) on monthly FX returns (GARCH = model for volatility over time), calibrate marginal distributions for tariffs (triangular), lead times (gamma/Pareto), and combine via a t-copula with df chosen by tail fit; run 10,000 correlated Monte Carlo draws to compute probability-weighted landed margins and value-at-risk percentiles. Ablation studies: (i) remove correlated copula and run independent shocks to measure sensitivity of tail loss estimates; (ii) run regressions excluding policy-shock terms to measure bias; (iii) compare randomized pilot results with matched observational comparator. Reproducibility: publish episode list, model parameters, power scripts, ETL pseudocode, and a CI-enabled notebook that executes a reduced Monte Carlo and regression pipeline.</w:t>
      </w:r>
    </w:p>
    <w:p>
      <w:r>
        <w:t xml:space="preserve"> </w:t>
      </w:r>
    </w:p>
    <w:p>
      <w:pPr>
        <w:pStyle w:val="Heading2"/>
      </w:pPr>
      <w:r>
        <w:t>Risk Factors And Limitations</w:t>
      </w:r>
    </w:p>
    <w:p>
      <w:r>
        <w:t>Technical failure modes: measurement error in customs HS mapping and firm financials; non-random attrition in pilots causing biased ITT estimates. Data biases: survey and LinkedIn samples may not represent all buyer types; customs mirror data can misreport re-exports. Scalability/compute limits: full 10,000-draw correlated Monte Carlo with large scenario grids may be compute intensive and slow for repeated tuning. Causal inference limits: pilot randomization at distributor cluster level may reduce effective sample size and increase MDE; unobserved confounders remain in observational baselines. Legal and governance constraints: delays or denial in customs microdata access, certification timelines, or export permits can stall pilots. Generalization limits: findings from Santander and selected buyer markets may not transfer to other regions, product categories, or post-2020 structural changes. Statistical limitations: tail-model misspecification (wrong copula or marginal) can under- or over-estimate compound shock probabilities. Operational risks: logistic disruptions or sudden policy changes during pilots can invalidate short-run comparison windows.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