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precommitments_international_performance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Causal analysis of how firm pre-commitments affect SME international performance using staggered difference-in-differences and complementary quasi-experiments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Binding pre-commitments by SMEs (strategic asset, relational, market, or institutional) causally increase international entry speed and first-year foreign-sales growth relative to firms without such pre-commitments, mediated by improved resource access.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international entrepreneurship and effectuation has used three main approaches: qualitative case studies that richly describe pre-commitment practices but cannot identify causal effects; cross-sectional surveys that measure correlations between pre-commitments and outcomes but suffer from omitted variable bias and timing ambiguity; and panel econometric studies that often lack explicit measurement of pre-commitment types, rely on single-source self-report data, or do not test mechanisms. Limitations across the literature include weak causal identification (few exploit natural experiments or staggered timing), inconsistent or non-validated measurement of pre-commitments, sparse mediation analysis testing how resources, signaling, learning, or coordination transmit effects, and limited treatment of spillovers and interference between firms or markets.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investigates whether and how binding pre-commitments (strategic asset allocations, partner pledges, advance market orders, and regulatory/legitimacy commitments) drive international performance of small and medium enterprises (SMEs). We combine multi-source, longitudinal firm panels (founder surveys, archival contracts, and financial records) with quasi-experimental causal methods to estimate causal effects and mechanisms. Our approach uses staggered difference-in-differences (to exploit variation in timing), synthetic-control hybrids, and instrumental/RD designs where plausible exogenous variation exists, and tests mediation through resource access, signaling, learning, and coordination. The main contribution is a parsimonious taxonomy of pre-commitments linked to causal estimands (cohort ATT, LATE for IVs, and direct/indirect spillover effects) and pre-registered decision rules that convert diagnostics into clear inferential choices. Expected outcomes include credible causal estimates of short-term entry speed and sales impacts, mapped mechanisms explaining heterogeneity, and clear bounds on effects when identification is partial, informing both theory and practice in international entrepreneurship.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Multi-country panel of SMEs (6–8 countries; advanced + emerging); firm-year panel length 6–10 years; target 1,200–2,000 firms; variables: treatment dates/values from archival contracts (contract signature or regulatory approval); founder survey measures of pre-commitment intensity; firm-level outcomes from financials. (2) Subset validation sample with record-level audit and recontact (n ≥ 200 firms). Baselines: (A) naive OLS with firm and year fixed effects; (B) staggered DID using Callaway &amp; Sant'Anna (CS) (DID = method comparing treated and control firms before/after treatment); (C) Sun &amp; Abraham (SA) sensitivity; (D) synthetic control hybrids (gsynth) for cohort cases; (E) IV/LATE where instrument exists; (F) regression discontinuity (RD) analyses where cutoffs apply. Evaluation metrics: treatment effect estimates (ATT/LATE) on: time-to-entry (months), market breadth (count of foreign markets entered), post-entry survival at 1 and 3 years (binary), international sales growth (% year-over-year), and foreign-market profit margin (%). Validity diagnostics: pretrend p-value (joint lead test), RMSPE pre/post ratio for synthetic control (root mean square prediction error), first-stage F-stat for instruments, Krippendorff's alpha for coding reliability. Experimental setup: estimate cohort-specific ATTs and aggregated ATT with multi-way clustered SEs (firm and country); produce event-study plots with leads/lags; run mediation analysis with causal mediation (estimate indirect effect via resource access), and moderated mediation by firm experience and volatility. Ablation studies: (1) compare binary treatment vs continuous intensity (monetary value/share) estimate; (2) drop archival validation to show measurement impact; (3) compare CS estimator vs naive DID and SA; (4) omit instruments and report bounds (Conley/partial ID). Sensitivity analyses: Oster delta (for unobserved confounding), Rosenbaum bounds for binary outcomes, and MNAR delta-adjustments for attrition.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error: misclassified or mis-dated commitment records will attenuate estimates (errors-in-variables). Bias from nonrandom missingness or attrition (MNAR) may invalidate multiple imputation and IPW results. Weak or invalid instruments: instruments may fail exclusion restriction (affect outcome directly) or have low first-stage strength (F-stat &lt; 10) causing biased IV/LATE. Spillovers and interference: cross-border partner networks can create contamination so SUTVA (no interference) may fail. Poor synthetic-control fit: high pre-treatment RMSPE undermines counterfactual credibility for some treated units. External validity: findings from selected countries, industries, or SMEs may not generalize to large firms or other institutional settings. Small-sample inference: few treated clusters in some countries may make cluster-robust SEs unreliable. Computational complexity: hybrid estimators and mediation with clustered panels increase compute and bootstrap cost. No mitigation strategies are included here.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