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pyrobuilds_incremental_explorer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Incremental causal-cache-guided exploration of large configurable software spaces using semantic-aware weak matching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Integrating content-addressed causal artifact caching with semantic-aware weak-match validation and adaptive, cost-aware configuration sampling reduces the average build cost per unit of information gained (measured as build time per bit of entropy reduction) by at least 30% compared to timestamp-based invalidation or random configuration sampling on representative codebases.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incremental-build approaches use timestamp or coarse dependency records to decide what to rebuild (for example, classic Make/Ninja style invalidation), which often rebuild too much work. Modern build systems add precise dependency tracking and content-addressed caching (for example, systems that store artifacts by hash), but they typically require exact cache-key equality and include configuration and environment in the key, which limits reuse across different configurations. Language-aware semantic-change detectors (for example, AST or symbol hashing) can avoid rebuilds on non-semantic edits, but they are usually language-specific and not integrated in a general cache + provenance model. Configuration-space exploration and optimization methods (for example, Gaussian-process or tree-ensemble surrogates with acquisition functions) guide which configurations to evaluate, but they rarely exploit fine-grained incremental reuse or provenance deltas to reduce evaluation cost. Open weaknesses: (1) lack of a general, language-agnostic weak-match mechanism that safely reuses artifacts across similar configurations; (2) limited coupling between adaptive exploration policies and incremental-build caches; (3) gaps in empirical methods to measure information gain per incremental build at scale.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the problem of efficiently exploring very large configurable software spaces where each configuration requires an expensive build or test evaluation. We propose an approach that combines a causal, content-addressed artifact cache (where artifacts are keyed by a hash of task signature, inputs, config, and environment), a semantic-aware weak-match validator (which can accept candidates when non-semantic differences are detected), and an adaptive, cost-aware configuration sampler (using probabilistic surrogates and acquisition functions). "Causal hashing" means the artifact key deterministically summarizes the exact inputs and transformation that produced it; "weak-match" means the system can reuse a cached artifact after validating a provenance delta that certifies functional equivalence. The main contribution is a reproducible pipeline that trades small, provable correctness risk for large practical reuse gains, and that measures information gain per incremental build. Expected outcome: significantly fewer rebuilds and lower total exploration cost for large configuration spaces while preserving practical reproducibility and measurable correctness checks.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medium C/C++ mono-repo subset (e.g., a configurable subset of an LLVM or FFmpeg tree) with header and compile-time flags; (2) Python project with native extensions (e.g., a NumPy/SciPy subset) to stress mixed-language builds; (3) four synthetic repos with parametrizable properties: (a) header-churn generator, (b) dynamic-dependency generator (generates read patterns at runtime), (c) semantic-only edits (comments/formatting), (d) nondeterministic-tool simulation. Baselines: timestamp-based invalidation (Make/Ninja style), exact-key content-addressed caching with full config in key (Bazel-style), and random configuration sampling. Implementation setup: Rust core incremental engine, Python adapter for semantic hashing, local and remote CAS mocks, OCI-pinned toolchains, and seed-controlled random generators. Trials: run each experimental condition for budgets {50, 200, 1000} configuration evaluations with 30 independent seeded trials per condition. Evaluation metrics: incremental_build_latency (wall-clock time per build), cache_hit_rate = fetched_cached_artifacts / total_artifact_fetches, reuse_rate = reused_artifact_bytes / total_artifact_bytes, rebuild_granularity = number_of_rebuilt_nodes and bytes_rebuilt, correctness_rate = fraction of evaluations where final artifact matches reference (bitwise) or passes regression tests, information_gain = entropy(prior) - entropy(posterior) over target metrics (use bits). Statistical analysis: bootstrap 95% confidence intervals for medians, paired Wilcoxon signed-rank tests for time comparisons, Benjamini–Hochberg correction for multiple comparisons. Ablations and comparisons: (A) disable semantic adapter to measure adapter benefit, (B) disable weak-match (require exact-key) to measure cross-config reuse, (C) remove remote CAS to measure network effect, (D) compare surrogates: GP+cost-aware EI vs ensemble+Thompson sampling, (E) vary mutation size and deny-list strictness for the configuration variation operator. Outputs to record and publish: OCI images, pinned toolchain digests, raw provenance traces, seeds, and analysis notebooks to reproduce figures.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Non-determinism: nondeterministic tool outputs can produce false weak-match acceptance or spurious cache hits; this threatens correctness and may require conservative invalidation. 2) Imperfect semantic adapters: language-specific adapters may misclassify semantic change and cause false-accept or false-reject decisions. 3) Security and supply-chain risks: malicious or compromised adapters or signing keys could produce forged provenance deltas; key management and revocation are operational challenges. 4) Scalability constraints: storing and indexing artifacts and causal metadata for 100k–1M nodes may hit storage, I/O, and remote-cache tail-latency limits; network costs may dominate at scale. 5) ML model limits: Gaussian-process surrogates scale poorly in very high-dimensional or categorical-heavy config spaces, and ensemble uncertainty estimates can be miscalibrated. 6) Measurement bias and generalization: synthetic benchmarks and chosen repos may not reflect all production patterns; results may not generalize across all languages or build systems. 7) Statistical power: small sample sizes or underpowered trials can lead to inconclusive statistical tests for rare failure modes or small effect sizes.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