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agentarceval_arch_eval</w:t>
      </w:r>
    </w:p>
    <w:p>
      <w:r>
        <w:t xml:space="preserve"> </w:t>
      </w:r>
    </w:p>
    <w:p>
      <w:pPr>
        <w:pStyle w:val="Heading2"/>
      </w:pPr>
      <w:r>
        <w:t>Title</w:t>
      </w:r>
    </w:p>
    <w:p>
      <w:r>
        <w:t>AgentArcEval: an evaluation method for comparing architectural choices in foundation-model-based agents</w:t>
      </w:r>
    </w:p>
    <w:p>
      <w:r>
        <w:t xml:space="preserve"> </w:t>
      </w:r>
    </w:p>
    <w:p>
      <w:pPr>
        <w:pStyle w:val="Heading2"/>
      </w:pPr>
      <w:r>
        <w:t>Short Hypothesis</w:t>
      </w:r>
    </w:p>
    <w:p>
      <w:r>
        <w:t>For foundation-model-based agents, adding an explicit long-term retrieval memory and a verifier to a modular planner–executor architecture increases binary task success rate by at least 10 percentage points compared to the same architecture without these components, holding model family, prompt style, and task set constant.</w:t>
      </w:r>
    </w:p>
    <w:p>
      <w:r>
        <w:t xml:space="preserve"> </w:t>
      </w:r>
    </w:p>
    <w:p>
      <w:pPr>
        <w:pStyle w:val="Heading2"/>
      </w:pPr>
      <w:r>
        <w:t>Related Work</w:t>
      </w:r>
    </w:p>
    <w:p>
      <w:r>
        <w:t>Existing approaches evaluate individual agent systems or components rather than systematically comparing full agent architectures. Prior work includes single large-language-model agents prompted to plan (monolithic CoT), modular planner/executor setups that separate planning and action, retrieval-augmented models that add external memory, program-synthesis pipelines that generate and run code, tool-using agents with API interfaces, hierarchical controllers that delegate to subagents, and multi-agent ensembles that vote or critique. Limitations across these approaches are: evaluations focus on isolated tasks and do not account for compound, multi-component behavior; there is little standardized component-level ablation to reveal which parts drive performance; non-determinism and evolving model versions are not handled consistently; robustness and failure-injection tests are sparse; logging and reproducibility practices are inconsistent, making cross-architecture comparison weak; and metric sets often omit verifier efficacy, hallucination calibration, and cost metrics together.</w:t>
      </w:r>
    </w:p>
    <w:p>
      <w:r>
        <w:t xml:space="preserve"> </w:t>
      </w:r>
    </w:p>
    <w:p>
      <w:pPr>
        <w:pStyle w:val="Heading2"/>
      </w:pPr>
      <w:r>
        <w:t>Abstract</w:t>
      </w:r>
    </w:p>
    <w:p>
      <w:r>
        <w:t>We present AgentArcEval, an evaluation method designed to compare architectures of foundation-model-based agents. The method treats agents as compound systems of planner, memory, executor, verifier, and tool interfaces, and it evaluates how component choices affect capability, reliability, and efficiency. AgentArcEval provides (1) a compact suite of representative agent architectures with explicit component-level variants, (2) a catalog of general scenario templates that guide generation of concrete tasks across short, mid, and long horizons, and (3) a prioritized ablation plan and metric suite that includes task success, hallucination rate, verifier performance, latency, and compute cost. The method prescribes deterministic pilot runs, structured logging, and statistical analysis using mixed-effects models plus a Bayesian alternative. Expected outcomes are reproducible, auditable findings that identify which architectural choices most influence task success, hallucination control, and resource usage, enabling researchers and engineers to make data-driven design decisions for foundation-model-based agents.</w:t>
      </w:r>
    </w:p>
    <w:p>
      <w:r>
        <w:t xml:space="preserve"> </w:t>
      </w:r>
    </w:p>
    <w:p>
      <w:pPr>
        <w:pStyle w:val="Heading2"/>
      </w:pPr>
      <w:r>
        <w:t>Experiments</w:t>
      </w:r>
    </w:p>
    <w:p>
      <w:r>
        <w:t>Datasets: construct task sets by tier: routine (200 trials/condition; examples: short math, single-step API synthesis, recipe step extraction), compositional (300 trials/condition; examples: multi-step web scraping then structured summary, calendar+email orchestration), open-ended (500 trials/condition; examples: multi-turn support dialogue with knowledge retrieval, coding a small data pipeline, simulated multi-agent coordination). Include provenance metadata and license info for each item. Architectures: evaluate seven canonical architectures: Monolithic LLM, Modular Planner–Executor, Retrieval-Augmented Memory, Program-Synthesis Agent, Tool-Using Constrained Agent, Hierarchical Meta-Controller, Multi-Agent Ensemble. Pilot: run the three-architecture pilot (Modular Planner–Executor, Retrieval-Augmented Memory, Program-Synthesis) first. Component variants: model family/size (large vs medium), prompting (zero-shot, few-shot, CoT, ToT), planner type (LLM vs symbolic), memory format (dense vector vs symbolic index), retrieval quality (kb size, top-k), verifier type (LLM vs rule-based), tool sync (sync vs async), sandbox strictness. Baselines: static single-LLM with fixed CoT; rule-based controller; perfect oracle (human-curated action sequence). Metrics: primary: Task Success Rate (binary per task). Secondary: accuracy, completion rate, hallucination rate (asserted facts unsupported by ground truth), number of steps, API call count, wall-clock latency, compute cost (GPU-hours), calibration metrics (Brier score, expected calibration error), verifier FP/FN rates. Experimental setup: use declarative JSON/YAML configs specifying checkpoints, prompt templates, retrieval indices, verifier thresholds, and seeds. Deterministic pilot: temperature=0, greedy decoding, fixed RNG seeds for numpy, Python random, and model SDK. Stochastic runs: run 5 independent seeds per condition and report mean ±95% CI. Logging: structured logs of prompts, planner subgoals, executor actions, tool invocations, verifier outputs, timestamps, and resource counters. Analysis: primary analysis via generalized linear mixed-effects model (binary outcome) with fixed effects for architecture and component interactions and random intercepts for task and seed; report effect sizes and CIs. Bayesian alternative: logistic hierarchical model with weakly informative priors. Multiplicity: Holm-Bonferroni for confirmatory contrasts, FDR for exploratory. Ablation study: for each architecture, toggle one component at a time (remove memory, replace planner with reactive prompt, disable verifier, reduce model size, change prompt strategy, degrade retrieval quality) and measure change in primary and secondary metrics; report interaction effects and rank-order stability across composite-weight sweeps.</w:t>
      </w:r>
    </w:p>
    <w:p>
      <w:r>
        <w:t xml:space="preserve"> </w:t>
      </w:r>
    </w:p>
    <w:p>
      <w:pPr>
        <w:pStyle w:val="Heading2"/>
      </w:pPr>
      <w:r>
        <w:t>Risk Factors And Limitations</w:t>
      </w:r>
    </w:p>
    <w:p>
      <w:r>
        <w:t>Non-determinism: model sampling and external tool nondeterminism can inflate variance and complicate comparisons. Sandbox and safety: program execution may pose sandbox escape or side-effect risks. Verifier limits: verifier miscalibration or label noise can bias composite scores. Dataset bias: curated tasks may not represent real-world distributions, limiting generalization. Annotation quality: human-eval inconsistency and low inter-annotator agreement can reduce metric reliability. Compute and cost: large-scale factorial ablations require high GPU-hours and cloud costs, limiting scale. Carbon footprint: significant energy use for open-ended task runs. Statistical assumptions: mixed-effects model assumptions (normal random effects, MAR missingness) may be violated, affecting inference. Rarity of critical failures: rare but high-cost failure modes may need larger adversarial test sets than planned. Reproducibility: full determinism requires precise seeding across libraries and pinned container images; small deviations can change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