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refa_policy_as_code_longitudinal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A longitudinal stepped-wedge evaluation of policy-as-code and automated guardrails to align security compliance with DevOps velocity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Enforcing policy-as-code and automated guardrails in CI/CD and IaC pipelines causes at least a 40% reduction in post-deploy security control violations while increasing median pull-request (PR) lead time by no more than 10% over six months.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Existing practice and research emphasize integrating security into development pipelines (DevSecOps) via continuous dependency scanning, static analysis, infrastructure-as-code (IaC) checks, and policy-as-code tools. Prior work shows automated scanning reduces detectable vulnerabilities and policy-as-code can codify controls, but evaluations are often short-term, single-tool, or single-team case studies. Limitations include: mixed evidence on developer productivity trade-offs, weak linkage to formal security standards (e.g., IEC 62443-4-1), sparse longitudinal data on remediation timelines, limited study of socio-technical effects (culture, incentives, ownership), weak reproducibility across heterogeneous tech stacks, and inadequate causal identification when rollouts are non-random or when cross-team spillovers occur. Few studies combine automated evidence collection, preventive IaC modules, and developer-facing remediation automation in a prescriptive lifecycle and measure both velocity and compliance jointly over extended periods.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We study whether a prescriptive, standard-aligned DevOps lifecycle that combines policy-as-code, automated CI gates, preventive IaC guardrails, continuous evidence collection, and developer-facing remediation reduces security control violations without harming developer velocity. We propose implementing REFA: a lifecycle that maps IEC 62443-4-1 controls to executable policy rules, standardized IaC modules, CI/CD enforcement hooks, and automated attestation. We evaluate REFA in a longitudinal stepped-wedge experiment across heterogeneous product teams, collecting event-level telemetry from CI, IaC repos, and issue trackers plus developer surveys and qualitative diaries. The main contribution is a reproducible, mixed-methods assessment linking automated enforcement exposure to counts of control violations, MTTR (mean time to remediate), and PR lead time, using pre-registered statistical models for staggered rollouts and small-cluster inference. Expected impact: concrete effect estimates, validated playbooks for practitioners, and evidence about sociotechnical mechanisms that govern compliance–velocity trade-offs.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(1) CI/CD pipeline logs (builds, policy evaluations, scan results, deploy events) from 6–12 teams across at least two cloud providers; (2) IaC repositories (Terraform/CloudFormation) and module usage metrics; (3) VCS metadata (commits, PR timestamps, reviewer actions); (4) issue-tracker items for remediation (timestamps, assignees, resolution); (5) developer surveys and diary entries; (6) synthetic sandbox workload traces for rule validation. Baselines: (A) status quo (no policy-as-code enforcement), (B) advisory-only policy checks (warnings, not blocking), (C) automated scans without policy-as-code enforcement, (D) full REFA enforcement (policy-as-code + guardrails + evidence automation). Ablations: remove continuous evidence collection, remove auto-remediation, and remove preventive IaC modules to measure marginal contributions. Evaluation metrics: violation_count per team-month stratified by severity (critical/high/medium/low), MTTR (hours) for violations, PR_lead_time (hours) from first commit to first production deploy, deployment_frequency (deploys per week), change_failure_rate (fraction of deploys causing rollback), percent_automated_evidence (fraction of controls with machine-produced artifacts), and developer_experience scores (NASA-TLX, SUS, NPS-like). Experimental setup: stepped-wedge (phased random assignment where groups receive intervention at different times) over 6–12 months with monthly aggregation; randomization unit = team or repository cluster; stratify randomization by baseline violation rate and maturity score; seed management: record RNG seed and commit randomization script. Analysis plan: pre-register ITT as primary estimand; secondary: per-protocol and CACE via IV (rollout order as instrument). Models: negative-binomial mixed-effects for violation counts (random intercepts for teams), mixed-effects quantile regression for medians (lead time, MTTR), interrupted time series and difference-in-differences with team fixed effects, and Callaway &amp; Sant’Anna estimators for staggered adoption. Small-cluster inference: permutation/randomization inference and wild-cluster bootstrap. Measurement-error and validation: reserve a validation subsample (at least 2 teams or 20% of events) with manual adjudication to estimate timestamp/severity error; apply SIMEX (simulation extrapolation) and hierarchical error models to correct bias. Power and sample: run Monte Carlo simulations across ICC in [0.10,0.30], AR(1) rho in [0.2,0.6], baseline ~10 violations/team/month to confirm minimum detectable effects for chosen N and T. Privacy and release: compare aggregated internal release vs public release under differential privacy; simulate epsilon tiers (public epsilon 0.1–1, internal epsilon up to 5) and evaluate utility loss (RMSPE, bias) before release. Reproducibility: publish telemetry schema, analytic notebooks, pre-analysis plan, and synthetic or DP-processed aggregated datasets.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Technical failures: pipeline instrumentation may drop or reorder events causing biased timestamps; policy-as-code rules can false-positive or false-negative, producing noisy violation counts. Data biases: participating teams may self-select (selection bias) and differ from broader industry; small number of clusters may limit statistical power and make asymptotic SEs unreliable. Spillovers: cross-team code reviews, shared libraries, or dependency graphs can create interference that biases ITT estimates. Human factors: developers may bypass or disable tooling, leading to partial compliance and confounding. Measurement-error: severity labeling and remediation-closure timestamps can be inconsistent across teams. Privacy and utility trade-offs: differential privacy for public release may reduce analytic precision. Scalability: collecting fine-grained telemetry across heterogeneous stacks increases storage and compute needs. Generalization limits: results reflect participating organizations, tech stacks, and the chosen enforcement policies and may not transfer to highly regulated or resource-constrained contexts. Legal/ethical constraints: IRB or partner legal reviews may restrict telemetry scope, reducing data available for causal tests.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