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deepchaos_frog_heart</w:t>
      </w:r>
    </w:p>
    <w:p>
      <w:r>
        <w:t xml:space="preserve"> </w:t>
      </w:r>
    </w:p>
    <w:p>
      <w:pPr>
        <w:pStyle w:val="Heading2"/>
      </w:pPr>
      <w:r>
        <w:t>Title</w:t>
      </w:r>
    </w:p>
    <w:p>
      <w:r>
        <w:t>Physics-informed deep learning with chaos-guided selection for detecting chaotic dynamics in short noisy frog heart time series</w:t>
      </w:r>
    </w:p>
    <w:p>
      <w:r>
        <w:t xml:space="preserve"> </w:t>
      </w:r>
    </w:p>
    <w:p>
      <w:pPr>
        <w:pStyle w:val="Heading2"/>
      </w:pPr>
      <w:r>
        <w:t>Short Hypothesis</w:t>
      </w:r>
    </w:p>
    <w:p>
      <w:r>
        <w:t>Integrating deep learning with a selection strategy guided by a matched mathematical model causes higher accuracy in detecting chaotic dynamics from short noisy frog heart recordings than deep learning trained on raw signals alone.</w:t>
      </w:r>
    </w:p>
    <w:p>
      <w:r>
        <w:t xml:space="preserve"> </w:t>
      </w:r>
    </w:p>
    <w:p>
      <w:pPr>
        <w:pStyle w:val="Heading2"/>
      </w:pPr>
      <w:r>
        <w:t>Related Work</w:t>
      </w:r>
    </w:p>
    <w:p>
      <w:r>
        <w:t>Prior work uses two broad approaches: (1) classical nonlinear-dynamics estimators (for example, maximal Lyapunov exponent, correlation dimension, recurrence quantification). These estimators are interpretable but require long, stationary, high signal-to-noise recordings and suffer bias in short or nonstationary data. (2) Data-driven deep learning approaches (CNNs, RNNs, TCNs, Transformers) that can learn patterns from raw time series but often act as black boxes, are sensitive to noise and nonstationarity, and lack built-in checks against spurious chaotic signatures. Surrogate-data testing procedures are used to control false positives, but standard surrogates assume stationarity and do not preserve local variance or cross-channel structure. Benchmarking and reproducibility are limited: few public datasets combine multimodal cardiac signals with annotated perturbations, and existing work seldom evaluates estimator bias versus SNR/length. Open gaps: reliable chaos detection in short, noisy, nonstationary biological recordings; principled integration of physics-based validation into learning pipelines; and reproducible calibration and surrogate budgets tied to power and compute.</w:t>
      </w:r>
    </w:p>
    <w:p>
      <w:r>
        <w:t xml:space="preserve"> </w:t>
      </w:r>
    </w:p>
    <w:p>
      <w:pPr>
        <w:pStyle w:val="Heading2"/>
      </w:pPr>
      <w:r>
        <w:t>Abstract</w:t>
      </w:r>
    </w:p>
    <w:p>
      <w:r>
        <w:t>Detecting chaotic dynamics in short, noisy biological recordings is difficult because standard chaos estimators need long stationary signals and deep learning models can learn spurious patterns. We propose an automatic algorithmic framework that couples deep learning with a chaos-guided selection strategy driven by a mathematical model matched to the experimental system. The method computes time-resolved dynamical summaries (for example, local Lyapunov exponent estimates and recurrence measures), uses model-driven selection to identify windows where chaos metrics are identifiable, and trains a hybrid temporal neural network that ingests both raw multimodal signals and physics-informed features. Main contributions are: (1) an end-to-end pipeline that preregisters estimator choices and surrogate tests for short segments, (2) a synthetic benchmark suite that calibrates estimator bias versus SNR/length, and (3) empirical evaluation on paired ex vivo and in vivo frog heart recordings. Expected outcome is robust, interpretable detection of chaotic dynamics in short noisy cardiac time series, with public datasets, reproducible code, and quantified operating characteristics for confirmatory studies.</w:t>
      </w:r>
    </w:p>
    <w:p>
      <w:r>
        <w:t xml:space="preserve"> </w:t>
      </w:r>
    </w:p>
    <w:p>
      <w:pPr>
        <w:pStyle w:val="Heading2"/>
      </w:pPr>
      <w:r>
        <w:t>Experiments</w:t>
      </w:r>
    </w:p>
    <w:p>
      <w:r>
        <w:t>Datasets: (A) Synthetic benchmark: Rössler and Lorenz systems and cardiac-membrane models (ionic conductance ranges: ±30% around nominal, restitution slopes 0.8–1.6), nonstationarity regimes (linear drift, abrupt regime switch, heteroscedastic bursts), artifact templates from recorded motion, deterministic random seeds published. Parameter sweeps: SNR ∈ {0,5,10,15,20} dB, segment lengths ∈ {5,10,30,60} s, sampling rates ∈ {500,1000,2000,5000} Hz. (B) Frog recordings: paired ex vivo (isolated perfused heart) and in vivo (anesthetized) datasets, modalities: surface ECG (≥1 kHz), bipolar extracellular electrograms (1–5 kHz), intracellular APs where available (5–10 kHz), optical mapping or calcium imaging when feasible; synchronized video (≥200 fps) and accelerometer. Baselines: Rosenstein/Kantz λmax estimator, Grassberger–Procaccia correlation dimension, recurrence quantification analysis (RQA), permutation/sample entropy, logistic regression on hand-crafted dynamical features, HMM on features, simple 1D-CNN on raw signals, TCN, Transformer, and a TCN–Transformer hybrid. Evaluation metrics: detection AUC, sensitivity/specificity at operating point, positive predictive value (PPV) at preregistered prevalence, λmax bias (mean error vs ground truth), 95% CI width for λmax, calibration (Brier score, expected calibration error), robustness curves (AUC vs SNR), and runtime per test. Experimental setup: preprocessing fixed (anti-aliasing analog, zero-phase Butterworth digital filters per modality), sliding-window feature extraction for confirmatory analyses: 30 s windows with 50% overlap (exploratory: 10 s windows with bias correction), embedding delay τ: first minimum of average mutual information (AMI) with ±50% sensitivity grid, embedding dimension m: false nearest neighbors (FNN) stopping at 1% threshold, surrogate testing: locally-stationary IAAFT with surrogate count scaled by effect size (pilot rule specified in code), animal-level holdout ≥20% for final test, nested cross-validation for hyperparameter tuning, fixed RNG seeds and ensemble of 5 seeds for variability. Ablations: (1) full model vs same architecture without dynamical-feature channels, (2) full pipeline vs classical-feature-only classifiers, (3) window length ablation (5/10/30/60 s), (4) surrogate-count ablation (200/500/1000) and compute-time measurement, (5) uncertainty module ablation (with/without Bayesian dropout or ensemble). Pre-registered compute: typical training on ~1000 30 s segments requires one GPU (V100 or similar), 16 CPU cores, 128 GB RAM, ~8–12 hours; per-test surrogate runs report wall time in results.</w:t>
      </w:r>
    </w:p>
    <w:p>
      <w:r>
        <w:t xml:space="preserve"> </w:t>
      </w:r>
    </w:p>
    <w:p>
      <w:pPr>
        <w:pStyle w:val="Heading2"/>
      </w:pPr>
      <w:r>
        <w:t>Risk Factors And Limitations</w:t>
      </w:r>
    </w:p>
    <w:p>
      <w:r>
        <w:t>Estimator failure modes: AMI and FNN can produce non-identifiable embeddings for very short or very noisy windows leading to misleading λmax or dimension estimates. Short-window bias: classical estimators may be biased even after calibration; confirmatory claims may fail if bias thresholds are unmet. Nonstationarity: abrupt trends or changing variance can invalidate standard surrogates and inflate false positives. Motion and recording artifacts: motion templates may overlap spectral bands of interest, causing misclassification. Model overfitting: deep models risk learning experimental or preprocessing artifacts rather than dynamics, especially with limited animals. Compute and cost: large surrogate/permutation budgets needed for low p-values increase runtime and compute cost. Generalization limits: methods calibrated on frog heart signals may not transfer to other species or organs without new calibration. Ethical/data constraints: limited sample sizes or missing modalities (no intracellular or optical mapping) reduce power. Interpretability limits: feature attributions (for example, SHAP or integrated gradients) can be confounded by temporal autocorrelation and feature dependence, limiting causal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