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bridging_sim_exp_ssda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Self-supervised domain adaptation with multimodal physics-based simulation for concrete damage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Augmenting labeled physics-based synthetic multimodal data with a self-supervised domain adaptation (SSDA) pipeline that combines domain-adversarial alignment, MMD, contrastive pretext, and physics-regularized losses will increase segmentation IoU on unlabeled experimental concrete damage images by at least 0.08 compared to training on synthetic data only.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train damage classifiers on either experimental data (limited scale) or synthetic data (large scale) then apply simple domain adaptation. Domain-adversarial methods (feature discriminator) can reduce domain gap but often blur fine crack geometry. Contrastive and self-supervised methods (e.g., BYOL, InfoNCE) improve representation robustness but are rarely combined with physics constraints. Minimum-class-confusion and pseudo-labeling stabilize cross-domain training but are sensitive to overconfident wrong labels. Fracture simulation efforts produce high-fidelity crack fields but are not routinely integrated with multimodal renderings (thermal, ultrasonic, AE) for SSDA. Limitations: (1) prior domain adaptation methods often ignore multimodal alignment and localization uncertainty, (2) synthetic datasets lack ensemble-based epistemic metadata, (3) calibration of constitutive parameters to experimental mechanical targets is underused, (4) many methods lack explicit, numeric schedules for loss weights and pseudo-label calibration.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transferring damage classification models trained on physics-based synthetic data to unlabeled experimental concrete measurements. Our approach pairs a large multimodal synthetic dataset (photorealistic RGB, depth, thermal, DIC-like strain fields, ultrasonic traces, acoustic-emission events) generated by calibrated fracture simulations with a self-supervised domain adaptation framework. The SSDA framework jointly optimizes: supervised segmentation on synthetic data, domain-adversarial alignment, squared-MMD feature matching, contrastive representation learning (InfoNCE/BYOL style), minimum-class-confusion, and a physics-regularizer that enforces agreement between predicted crack maps and mechanical responses. We specify closed-form loss combinations, per-epoch ramp functions, projection-head sizes, and pseudo-label calibration schedules. The main contribution is a reproducible, quantitative pipeline that integrates emulator-based Bayesian calibration of simulation parameters and per-pixel uncertainty weighting derived from localization covariance. Expected outcome: a damage classifier that generalizes to experimental modalities with demonstrable gains in IoU, calibrated uncertainty maps, and published reproducible artifacts.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</w:t>
        <w:br/>
        <w:t>- Synthetic: 12 case types (notched beam monotonic, notched beam cyclic, reinforced beam monotonic, reinforced beam cyclic, slab point-load, slab impact, patch/interface repair, edge-crack tension, shear panel, aggregate-fragmentation, cylinder splitting, through-thickness notch). Per case: 20 low-fidelity + 5 medium + 1 high-fidelity simulation ensembles; generate total ~30k RGB, 30k depth, 30k thermal frames, 12k DIC frames, 12k ultrasound traces, 200k AE events, 30k ground-truth damage maps. Attach per-sample metadata and ensemble label variance.</w:t>
        <w:br/>
        <w:t>- Real: Paired experiments for 3 prioritized cases (notched beam monotonic, reinforced beam cyclic, slab impact). Per-case real runs: 12 specimens × 2–3 repeats = 24–36 runs. Sensors: RGB 5–10 Hz, DIC 2–5 Hz (≤50 μm/pixel), AE arrays ≥1 MHz sampling (±1 μs sync), ultrasound 0.5–2 MHz windows, IR thermal 10–20 Hz.</w:t>
        <w:br/>
        <w:t>Baselines:</w:t>
        <w:br/>
        <w:t>- Synthetic-supervised U-Net (encoder ResNet50), DeepLabV3+, Domain-Adversarial Neural Network (DANN), BYOL pretrain + supervised fine-tune, Mean-Teacher pseudo-labeling only.</w:t>
        <w:br/>
        <w:t>Proposed model:</w:t>
        <w:br/>
        <w:t>- Encoder: ResNet50 (output dim 2048). Segmentation decoder: U-Net style skip connections. Projection head for contrastive: 2-layer MLP 2048→256→256 (ReLU + batchnorm). Classifier head: 2048→512→C.</w:t>
        <w:br/>
        <w:t>- Momentum encoder (BYOL/mean-teacher) momentum m=0.999 for EMA weights.</w:t>
        <w:br/>
        <w:t>Losses and schedules (t = epoch index):</w:t>
        <w:br/>
        <w:t>- Total loss L = L_sup + λ_adv(t) L_adv + λ_mmd(t) L_mmd + λ_cont L_cont + λ_mcc L_mcc + λ_phys L_phys + λ_pseudo(t) L_pseudo.</w:t>
        <w:br/>
        <w:t>- L_sup: pixel-wise cross-entropy on synthetic labels.</w:t>
        <w:br/>
        <w:t>- L_adv: domain discriminator binary CE via gradient reversal (discriminator on encoder features).</w:t>
        <w:br/>
        <w:t>- L_mmd: squared MMD between synthetic and real features, MMD^2 = 1/n^2 Σ_{i,j} k(x_i,x_j)+1/m^2 Σ_{i,j} k(y_i,y_j) - 2/(nm) Σ_{i,j} k(x_i,y_j), with Gaussian RBF kernel k(x,y)=exp(-||x-y||^2/(2σ^2)), σ set by median heuristic per-batch.</w:t>
        <w:br/>
        <w:t>- L_cont: InfoNCE contrastive loss with temperature τ=0.1, positives = same-sample augmentations, negatives = other samples in mixed batch (in-batch negative sampling). Projection dims 256.</w:t>
        <w:br/>
        <w:t>- L_mcc: minimum-class-confusion implemented via class-correlation matrix C = P^T P / N (P is softmax probs for unlabeled real batch); L_mcc = ||C - diag(C)||_F (Frobenius norm of off-diagonals) to penalize cross-class confusion.</w:t>
        <w:br/>
        <w:t>- L_phys: L2 loss between predicted mechanical outputs (peak stiffness, peak load, fracture-energy scalar) from predicted crack maps and emulator-predicted values for that synthetic sample; units consistent (N, N/m) via normalization.</w:t>
        <w:br/>
        <w:t>- Pseudo-labeling: EMA teacher produces soft pseudo-labels; confidence threshold α(t): linear decay α(t)=max(0.7, 0.9 - 0.0025*t) from epoch 0..80. Pseudo labels refreshed every epoch. λ_pseudo(t) ramp function: λ_pseudo(t)=λ_pseudo_max * min(1,max(0,(t-N1)/τ)) with N1=20, τ=40.</w:t>
        <w:br/>
        <w:t>Weight schedules (epochs 0–100):</w:t>
        <w:br/>
        <w:t>- Phase A (0–20): λ_adv=0, λ_mmd=0, λ_cont=0.2, λ_mcc=0, λ_phys=0.5, λ_pseudo=0.</w:t>
        <w:br/>
        <w:t>- Phase B (21–60): ramp λ_adv linearly 0→1 over 40 epochs, λ_mmd linearly 0.1→0.5, λ_cont constant 0.2, λ_mcc 0.05, λ_phys 0.5, λ_pseudo ramp 0→0.8.</w:t>
        <w:br/>
        <w:t>- Phase C (61–100): maintain values; optionally decay λ_cont to 0.1.</w:t>
        <w:br/>
        <w:t>Training details:</w:t>
        <w:br/>
        <w:t>- Optimizer: AdamW; encoder LR 1e-3, heads 2e-3; cosine annealing with 2-epoch linear warmup. Batch per GPU: 12 synthetic + 4 real. Multi-GPU sync-BN. Augmentations deterministic per-epoch via stored RNG seeds; global run seed saved in metadata.</w:t>
        <w:br/>
        <w:t>Emulator (surrogate) and calibration:</w:t>
        <w:br/>
        <w:t>- Gaussian Process (GP) emulator with ARD RBF kernel, input dims = 8 calibrated sim parameters (E, ν, ft, Gf, softening param, damage viscosity, interface cohesion, aggregate PSD stat), output dims = mechanical scalars (peak load, stiffness, Gf). Training budget: 200 total medium/high-fidelity runs, including ≥30 high-fidelity anchors. Diagnostics: LOO-CV relative RMSE target &lt;10% on mechanical scalars. Use GP posterior to draw 100 synthetic parameter samples for uncertainty-aware synthetic ensembles.</w:t>
        <w:br/>
        <w:t>Evaluation metrics:</w:t>
        <w:br/>
        <w:t>- Pixel IoU, F1, per-class IoU, skeleton Dice (skeleton masks dilated by 0.5 mm), Hausdorff distance for crack skeletons, fracture-energy relative error, AE/ultrasound localization error mean±sd (mm), MMD^2 reduction, Expected Calibration Error (ECE). Calibration target ECE ≤0.08.</w:t>
        <w:br/>
        <w:t>Splits, baselines and statistical tests:</w:t>
        <w:br/>
        <w:t>- Split policy: leave-one-case-out across 12 cases; within-case 5-fold CV; specimen-level grouping ensures all repeats of a specimen remain in same split. RNG seeding: global seed stored; augmentation seeds = hash(global_seed, epoch, worker_id). Baseline models: U-Net, DeepLabV3+, DANN, BYOL+supervised, Mean-Teacher. Ablations:</w:t>
        <w:br/>
        <w:t>1) Remove L_adv (expect IoU drop 0.03–0.06). 2) Remove L_cont (expect IoU drop 0.02–0.05). 3) Remove L_phys (expect worse fracture-energy error increase &gt;10%). Statistical tests: paired Wilcoxon signed-rank on IoU differences, 1,000 bootstrap resamples, Bonferroni correction across ablations, significance α=0.05.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</w:t>
        <w:br/>
        <w:t>- Domain gap too large: representations may align without preserving crack geometry; adversarial loss can blur small cracks.</w:t>
        <w:br/>
        <w:t>- Overconfident pseudo-labels: incorrect pseudo-labels can reinforce wrong predictions and reduce generalization.</w:t>
        <w:br/>
        <w:t>- Emulator misfit: GP surrogate may underfit if input parameterization omits key physics, yielding poor calibration.</w:t>
        <w:br/>
        <w:t>Data and evaluation biases:</w:t>
        <w:br/>
        <w:t>- Experimental dataset small relative to synthetic scale; sampling bias in chosen specimen types may limit generalization to unseen geometries or materials.</w:t>
        <w:br/>
        <w:t>- Sensor artifacts (lighting, occlusion) in real data may create systematic errors not represented in synthetic domain randomization.</w:t>
        <w:br/>
        <w:t>Compute and scalability limits:</w:t>
        <w:br/>
        <w:t>- High-fidelity simulations require large CPU-hours (≈1,000 CPU-hrs per high-fidelity run) and large storage (tens of TB), which may limit the number of anchors for emulator training.</w:t>
        <w:br/>
        <w:t>- Training SSDA with multimodal inputs and mixed batches increases GPU memory; large batch-size sensitivity may affect MMD and contrastive stability.</w:t>
        <w:br/>
        <w:t>Limits to generalization:</w:t>
        <w:br/>
        <w:t>- Trained model may not transfer to field-scale structures or to different concrete mixes without further calibration; localization accuracy for AE/ultrasound degrades with complex boundary reflections. Unit and measure consistency:</w:t>
        <w:br/>
        <w:t>- Physical quantities (fracture energy Gf in N/m, loads in N, lengths in mm) must be consistent between simulator, emulator, and loss terms; inconsistent scaling will bias L_phys and calibration diagnostics.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