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reflex_memory_ahtm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Hardware-accelerated reflex memory augmentation of Hierarchical Temporal Memory for low-latency sequence inference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small hardware-accelerated reflex memory (RM) that maps sparse distributed representations (SDRs) to actions with rapid learning will reduce end-to-end decision latency on urgent-event sequences by at least 10× while changing HTM Temporal Memory (TM) long-range predictive accuracy by no more than 5 percentage points.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Hierarchical Temporal Memory (HTM) and related sequence models learn multiorder temporal patterns using sparse distributed representations (SDRs). Prior work on fast associative lookup includes content-addressable memory (CAM/TCAM) and associative SRAM designs that return stored values by content rather than address; such designs are fast but have limited capacity and power tradeoffs. FPGA and in-memory computing efforts accelerate pattern matching using bit-parallel popcount and Bloom/LSH filters; these reduce search but introduce false positives and verification costs. Fast learning rules (rapid Hebbian potentiation) are studied in neuromorphic and neurology-inspired systems, but are rarely coupled with a hierarchical slow learner to balance fast reactions and slow predictions. Limitations: HTM alone is not optimized for ultra-low-latency reactive mapping of repeated first-order patterns; pure CAM solutions lack integration with slow predictive learning and plasticity gating; LSH-based accelerations trade memory and verification overhead against collision risk; and prior co-designs rarely quantify arbitration, metaplastic gating, and hardware energy/latency in a unified evaluation.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Sequence learners such as Hierarchical Temporal Memory (HTM) capture long-range temporal structure but do not provide reliably ultra-low-latency reactions for repeated, first-order relationships. We introduce an accelerated HTM (AHTM) that adds a Reflex Memory (RM): a small associative cache that stores SDR→action mappings and supports rapid Hebbian-style learning (fast potentiation, fast decay). RM runs in parallel with HTM Temporal Memory (TM) and a lightweight arbitration unit selects RM output when reflex confidence times urgency exceeds a calibrated threshold relative to TM confidence. We describe algorithmic additions: a rapid-reflex learning rule, metaplastic gating to downweight TM updates during reflex dominance, and per-entry confidence/recency metadata. We present a hardware-aware H-AHTM design using CAM or FPGA-friendly MinHash candidate generation plus full-key Hamming verification to achieve constant-time associative lookup in practice. Main contributions: (1) the AHTM integration pattern and learning rules, (2) a parameterized H-AHTM microarchitecture for low latency and measurable energy cost, and (3) a reproducible evaluation pipeline. Expected outcome: sub-millisecond reflex outputs on urgent events while preserving TM predictive performance.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urgent-event sequences: sequences of symbols with rare urgent cues requiring immediate reflex responses (class imbalance ratios 1:100 to 1:1000). (2) Standard HTM sequence benchmarks (Numenta-style synthetic sequences). (3) Robotics sensor streams (OpenAI Gym continuous-control episodes encoded to SDRs). (4) Physiological event streams (MIT-BIH style event sequences). Encoding: SDRs of length n=512 with k=20 active bits (≈3.9% sparsity) for all datasets. Baselines: (A) TM-only (standard HTM Temporal Memory); (B) AHTM software RM (in-memory dictionary + Hamming verification); (C) H-AHTM hardware-accelerated RM (FPGA or cycle-accurate simulator). Metrics: end-to-end latency percentiles (median, 99th), reflex precision/recall, false-positive rate (FP per input), TM predictive accuracy (fraction of correctly predicted active cells), trials-to-commit (reinforcements to reach commit threshold), energy per lookup (nJ), resource usage (BRAM/URAM/LUTs). Experimental setup: implement MinHash banding candidate retrieval (baseline b=5, r=40) with full-key Hamming verification; target FPGA family Xilinx UltraScale+ VU9P for hardware runs. Statistical plan: paired experiments with N=50 paired trials per condition for behavioral comparisons; parameter sweeps across RM capacity M∈{1k,4k,8k,16k,64k}, key width m∈{128,256,512}, decay τ∈{1s,30s,300s}, arbitration α∈[0.1,2.0]; use bootstrap 95% confidence intervals and false discovery control via Benjamini–Hochberg (FDR) for multiple comparisons. Ablations: RM off/on, RM with vs without metaplastic gating (g = 1/(1+β c_R u), β∈{1,4,8}), MinHash banding parameter sweep ROC (TPR/FPR) per dataset. Reporting: per-dataset calibration plots (MinHash ROC), latency microbenchmarks for critical path (MinHash lookup, band collision detection, BRAM read, popcount, arbitration FSM) with cycle counts, and energy-per-lookup estimates from FPGA power report.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false-positive RM matches causing incorrect reflexes; arbitration oscillation between RM and TM under adversarial inputs; RM rapid consolidation preventing TM from learning necessary long-term patterns in pathological timing. Hardware limits: CAM scaling and FPGA LUT/BRAM costs may restrict RM capacity; MinHash candidate generation increases metadata memory and verification read bandwidth. Evaluation biases: rare-event datasets create class imbalance that inflates variance and complicates power; SDR encoding choices strongly affect similarity geometry and LSH performance, limiting generalization across sensors or encoders. Measurement limits: FPGA timing/power estimates may not generalize to ASIC deployments; cycle-accurate simulators may under- or over-estimate wire-routing latencies. Reproducibility constraints: access to target FPGA (VU9P) or identical toolflow versions may be limited. Scope limits: results will be specific to SDR parameters (n,k), chosen LSH family, and arbitration normalization; cross-domain generalization is not guaranteed.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