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locomamba_fusion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Vision-driven quadrupedal locomotion via end-to-end reinforcement learning with MAMBA selective state-space fusion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end-to-end reinforcement learning policy that fuses proprioceptive embeddings and patchified depth tokens using the MAMBA selective state-space model will produce lower foot slip rate and faster push-recovery time than policies that fuse modalities by simple concatenation or that omit MAMBA fusion.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fall into several groups: (1) end-to-end RL for legged robots that map raw sensors to torque commands, which can learn complex behaviors but often suffer from poor sample efficiency and appearance sensitivity; (2) modular motor-primitive architectures that split control into reusable low-level primitives gated by higher-level policies, which improve stability but often rely on privileged state or hand-designed fusion; (3) cross-modal encoders and attention-based fusion that combine vision and proprioception, which improve perception but can scale poorly in time or memory for long horizons; (4) state-space models (SSMs) for temporal modeling, which can capture long-horizon dynamics efficiently but are rarely applied as selective cross-modal fusion backbones. Limitations in current methods include sensitivity to image appearance, limited long-horizon modeling, quadratic scaling of attention-based fusion with token length, inadequate evaluation of contact-model robustness, and weak sim-to-real validation protocols.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vision-driven locomotion for quadruped robots by proposing an end-to-end reinforcement learning framework that fuses depth vision and proprioception with MAMBA, a selective state-space model used as a cross-modal backbone. Depth images are patchified into spatial tokens (small image patches treated as separate inputs) and proprioceptive states are embedded with a small multilayer perceptron. Stacked MAMBA layers selectively scan these tokens to fuse modalities while maintaining near-linear time and memory scaling and enabling long-horizon prediction (MAMBA is a selective state-space model that processes sequences efficiently). The policy head consumes MAMBA-fused features and is trained end-to-end with a policy-gradient algorithm. The main contribution is demonstrating that selective state-space fusion of depth tokens and proprioception improves stability (lower slip) and robustness (faster recovery) under varied terrains and sensor perturbations compared to non-selective fusion. Expected outcomes are improved long-horizon control, reduced appearance sensitivity, and clearer trade-offs between token length, image resolution, and control performance.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simulated quadruped in Isaac Gym or equivalent with terrains: flat, short grass, gravel, mud, slopes ±20°, stairs, and randomized micro-roughness; dynamic obstacles and randomized lighting; real-world deployment on one quadruped robot with RGB-D camera and IMU for final validation. Training budgets: pilot runs 20M environment steps; full runs 200M steps. Random seeds: 20 seeds for primary comparisons, 10 seeds for secondary baselines. Baselines: (A) non-modular PPO actor-critic with identical encoder capacity and simple concatenation fusion; (B) original MAMBA using privileged state (no visual tokens); (C) proprioception-only policy; (D) behavior-cloned warm-start policy. Policy and learning: on-policy PPO (policy-gradient) with standardized hyperparameter sweep; contrastive visual loss ablation toggled on/off. Evaluation metrics: slip rate (slip events per meter; slip event = tangential contact velocity &gt;0.10 m/s sustained &gt;0.02 s), push-recovery time (time to re-stabilize after a 50 N lateral push), normalized energy J/(kg·m) computed as integral |τ·ω|/(mass·distance), distance-to-goal without safety intervention (primary task-success metric), foot contact timing variance, and failure rate (episodes needing fallback or E-stop). Statistical tests: bootstrap confidence intervals (95%) and permutation tests for non-Gaussian distributions; report mean±CI across seeds and paired contrasts. Ablations: (1) MAMBA fusion vs concatenation; (2) contrastive loss on/off; (3) varying image tokenization (token size and count); (4) image resolution sweep (e.g., 64×64 vs 128×128); (5) primitive bank size K ∈ {4,8,12} if used; (6) contact-model regression check using compliant penalty vs complementarity-based contact. Sim-to-real protocol: domain randomization in sim (friction, mass, camera intrinsics/extrinsics, lighting), encoder fine-tuning on 50–200 short real episodes if needed, final hardware trials staged with tethering and safety gating. Logging: per-step sensor traces, attention/activation maps, and synchronized video for diagnostics.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mismatch between simulated and real contact physics can lead to degraded performance on hardware; selective scanning in MAMBA could omit critical visual tokens in occlusion or rapid change, causing control failure. Data and evaluation biases: terrain suite may not cover all real-world conditions, producing over-optimistic results; seed or run failures (crashes) can bias statistics if not pre-specified in analysis. Scalability and compute: long training budgets (200M steps) require large parallel simulation resources and GPU compute; near-linear scaling promises but real throughput depends on implementation. Identifiability and system-ID limits: some contact or actuator parameters may be weakly identifiable from planned calibration experiments, leaving residual sim mismatch. Generalization limits: policies trained on depth images may still be sensitive to camera mounting or depth noise not captured in randomization. Safety limits: fallback policies and E-stop rely on timely detection; worst-case latency in hardware may exceed safe bounds. Evaluation measurement limits: slip and recovery thresholds are robot- and terrain-specific; chosen cutpoints may change conclusions and require sensitivity analysis.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