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adapkoop_pc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Adaptive deep Koopman predictive control for mitigating traffic oscillations in mixed traffic flow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adaptive deep Koopman embedding used inside a model predictive controller will reduce traffic oscillation amplification (measured by speed-variance and string-amplification) by at least 50% compared to human-only driving across mixed-penetration scenarios (25%–75% connected automated vehicles) in closed-loop simulations.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classes: (1) classical control methods (e.g., full-state LQR) applied to simplified linearized car-following models, which provide analytic guarantees but do not scale to strongly nonlinear, heterogeneous traffic; (2) deep-learning identification of dynamics or end-to-end policies, which capture nonlinear behavior but often lack stability guarantees and fail to generalize to new traffic regimes; and (3) Koopman-operator based methods that learn linear latent dynamics, some combined with MPC, offering a pathway to linear control of nonlinear systems but typically lacking adaptive updates, robust tube formulations, or explicit sample-based bounds and real-time implementation recipes. Weaknesses across prior work include limited treatment of heterogeneity (mixed human/automated vehicles), insufficient handling of residual model error and temporal correlation, ad hoc stability enforcement without quantitative bounds, and few scalable solutions that meet embedded real-time latency and reproducibility standards.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mitigation of traffic oscillations in mixed human-automated vehicle fleets by combining learned linear embeddings of nonlinear car-following dynamics with real-time predictive control. The core idea is to train a deep encoder/decoder (a neural autoencoder) that maps vehicle states into a latent space where time evolution is approximated by a linear operator (the Koopman operator). The learned linear model is embedded into a receding-horizon quadratic program (model predictive control) and augmented with adaptive updates and stability constraints in latent space. Main contributions are: (1) a compact adaptive Koopman identification that admits a linear controller, (2) explicit, data-driven stability and residual bounds that propagate to physical-state guarantees, and (3) a practical evaluation protocol assessing amplification reduction, prediction fidelity, and solver latency in mixed-penetration traffic. Expected outcome: a scalable, auditable controller that meaningfully reduces stop-and-go waves in mixed traffic while providing quantifiable stability margins and real-time feasibility on embedded targets. (Technical terms: Koopman operator = a way to represent nonlinear dynamics linearly in a higher-dimensional space; MPC = model predictive control, a horizon-based constrained optimizer.)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SUMO/Flow simulated scenarios: ring-road (n=22 vehicles), bottleneck corridor, and on-ramp merge; variable densities. (B) Curated naturalistic driving traces (highway and ring-road segments) for identification batches. Baselines: (1) human-only driving simulated via IDM-type models, (2) full-state LQR controller assuming linearized true dynamics, (3) behavior-cloned MPC (supervised policy), (4) deep Koopman MPC without online adaptation. Evaluation metrics: speed variance, maximum string amplification ratio (max downstream perturbation / upstream perturbation), multi-step prediction MSE (K-step), number of hard-brake events (&gt;Δv threshold), fuel/comfort proxy (jerk statistics), solver latency (median and 95th percentile). Experimental setup: latent dimension grid n ∈ {6,8,12}, multi-step training horizon K ∈ {5,7,10}, spectral bound γ ∈ {0.90,0.95,0.99}, penetration rates p ∈ {0%,25%,50%,75%,100%}; 40 randomized seeds per scenario; closed-loop rollout length 300 s. Ablations: compare stability enforcement methods (spectral-norm normalization, Lyapunov projection, Lyapunov-SDP), test tube-MPC robust variant vs nominal MPC, and test online RLS adaptation vs static model. Statistical analysis: use paired tests with block-bootstrap (block length from autocorrelation) to account for temporal correlation; report 95% confidence intervals and paired effect sizes.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latent collapse or non-identifiable encoder (encoder outputs degenerate), underestimated residuals w_t causing violated constraints, and solver-time misses causing unsafe fallback activation. Data and evaluation biases: SUMO scenarios may not capture real driver heterogeneity or sensor occlusions; naturalistic traces may have selection bias. Scalability and compute limits: Hessian-probe and SDP solves are computationally heavy; embedded hardware may not meet worst-case latency. Statistical assumptions: Lipschitz and sub-Gaussian residual assumptions may be violated (heavy tails, strong temporal dependence), reducing confidence in tube widths. Generalization limits: models trained on specific network types may not transfer to different topologies (e.g., merges vs ring) or extreme densities. Nonstationarity: traffic regime shifts can invalidate learned A,B unless adaptation is carefully constrained. Verification limits: guaranteed global input-to-state stability is not claimed; only local/empirical bounds under stated assumptions will hold.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