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gnn_aclp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Graph neural networks for analog circuit link prediction via subgraph-based learning, netlist-format normalization, and physics-informed labeling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subgraph-based heterogeneous GNNs with LLM-assisted netlist normalization and physics-informed multi-task losses causes a ≥10 percentage-point increase in functional edge F1 and a ≥5 percentage-point increase in physics-consistency score versus a topology-only GCN on the SpiceNetlist test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graph neural networks to circuit analysis using topology-only GNNs, relational GNNs, and subgraph methods (for example SEAL) to predict missing links or properties. Other efforts focus on netlist parsing, data augmentation with synthetic circuits, or adding physics-inspired regularizers. Limitations remain: topology-only models fail to capture terminal-level (port) semantics and small-signal relationships; many methods assume a single netlist format and break when formats vary; datasets are small or synthetic without standardized labeled functional links; physics constraints (KCL/KVL, loop gain) are rarely enforced during learning, producing predictions that can be electrically impossible; and many studies lack clear reproducibility (fixed SPICE protocols, seeds, and PDK handling). These gaps make it hard to predict functional links (feedback, signal-path, mirror pairs) that are electrically meaningful and robust across formats and bias points.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predicting electrically meaningful links in analog circuit netlists: terminal connections, functional signal paths, feedback links, device-pair relations (mirrors/differential pairs), and capacitive couplings. We propose GNN-ACLP, a pipeline combining (1) subgraph-based heterogeneous graph neural networks that operate on a canonical bipartite device–net representation to predict edge existence, type, and physical values; (2) Netlist Babel Fish, an LLM-assisted netlist-format normalizer that translates diverse netlist formats into the canonical graph; and (3) physics-informed multi-task losses that incorporate DC/AC-derived metrics (KCL residuals, loop-gain checks, small-signal impedances). We evaluate on SpiceNetlist, a labeled collection of 775 annotated circuits spanning 7 topology families and 10 component classes, and on a larger synthetic augmentation set for scaling tests. The main contribution is a reproducible, format-robust workflow that links GNN predictions to measurable electrical behavior. We expect improved functional-edge detection accuracy and high physics-consistency, enabling link predictions that are interpretable and actionable for analog design automation.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SpiceNetlist: 775 annotated SPICE circuits across 7 topology families (single-stage amp, differential pair, cascode, folded cascode, op-amp, current mirror, filters) and 10 component classes; annotations include terminal edges, series passive edges, feedback, signal-path membership, mirror/differential labels, substrate ties, and C/R values extracted via SPICE DC+AC runs. 2) Synthetic-augmented corpus: 5,000 circuits generated with PDK-anchored parameter distributions for scalability experiments. Split: train/val/test = 80/10/10 with a topology-holdout set (10% unique topologies reserved for zero-shot). Baselines: topology-only GCN, Relational GCN (R-GCN), hetero-transformer (HGT/HAN), SEAL-style subgraph baseline, edge-MLP on node embeddings, and a physics-informed GNN ablation. Metrics: per-edge-type precision/recall/F1, AUC-ROC, regression MAE (%) for R/C values (log-scale), physics-consistency score (fraction of predicted edges passing KCL/KVL and no illegal supply shorts), calibration error, and zero-shot topology accuracy. SPICE protocol: ngspice v37.0; DC + AC linearization; AC sweep 1 Hz–100 MHz, 201 points; reltol=1e-6, abstol=1e-12, vntol=1e-8; corners TT/FF/SS and temps -40/27/125°C. Training: heterogeneous GNN with edge-aware message passing, multi-task heads (classification + regression + physics-loss), log-transform regression targets, heteroskedastic NLL for variance; early stopping on val loss, max 200 epochs, patience 20. Patch training: k-hop patches k∈{2,3}, global context token. Ablations: (A) remove physics losses, (B) replace Netlist Babel Fish with raw-parsed netlists, (C) disable AC-derived features, (D) vary patch sizes {50,100,200} nodes, (E) use surrogate simulator vs full SPICE for labels. Statistical analysis: mixed-effects models (circuits nested within topology family) and bootstrap CIs; report paired comparisons across N≥100 circuits per family with multiple-comparison control. Reporting: full seeds, SPICE model hashes, and deterministic manifests.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scale and bias: SpiceNetlist (775 circuits) may be insufficient for deep models; synthetic augmentation can introduce distribution shift. 2) Threshold choices and labeling sensitivity: numeric thresholds (e.g., 3 dB, loop-gain &gt;1) may change labels; labeling instability can bias training. 3) Netlist normalization failure: LLM-based conversion may hallucinate or mis-map terminals for exotic formats, producing incorrect graphs. 4) Physics-computation cost: extracting DC/AC metrics for many circuits requires substantial SPICE CPU time and may limit dataset size. 5) Surrogate simulator risk: surrogate mismatch to SPICE can introduce systematic label errors and OOD cases where surrogate is invalid. 6) Numerical stability: KCL/KVL residuals and small currents can be near solver tolerances, causing noisy labels. 7) Generalization limits: models trained on provided topologies may fail on novel analog motifs or new PDK primitives. 8) IP and PDK constraints: real PDK models may be restricted, limiting public reproducibility. 9) Scalability: heterogeneous GNNs with rich edge types and physical features may be memory- and time-intensive on large circuits. 10) Evaluation bias: optimizing for edge-F1/AUC alone may miss circuit-level functional correctness (e.g., inferred link that passes edge metrics but breaks netlist behavior).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