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rural_web_cancer_prevention_pilot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Pilot mixed-methods randomized trial of a web-based behavior-change intervention to reduce multiple cancer risk factors among rural emerging adults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Participants randomized to the co-created web-based intervention will have a higher proportion achieving meaningful engagement at 3 months than participants randomized to an information-only control.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tested social-media and web-based behavior-change interventions to reduce tobacco use, improve vaccination, and encourage healthy lifestyle behaviors. These approaches often use brief modules, peer modeling, goal-setting, and automated reminders. Common limitations are: (1) weak or inconsistent engagement measurement (varying use of time-on-site, page views, or self-report), (2) limited tailoring to rural culture and low-bandwidth contexts, (3) sparse use of chart-verified clinical outcomes (e.g., vaccine registry checks), (4) poor specification of analytic rules for engagement and missing data, and (5) infrequent mixed-methods integration to explain why users engage or drop out. Existing baselines typically compare full interventions to static information or waitlist controls, but do not isolate core behavior-change components (goal-setting, reminders, peer modeling). Equity monitoring and reproducible logging schemas are rarely prespecified, reducing generalizability to underserved rural groups.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Rural emerging adults face multiple modifiable cancer risk factors and limited access to prevention resources. We propose a pilot mixed-methods randomized study of a co-created, theory-driven web intervention delivered via private social media groups and a mobile-first site. The intervention bundles six short modules (tobacco/vaping, UV protection, HPV vaccination, physical activity and diet, alcohol and sleep, and rural navigation skills), explicit behavior-change techniques (goal-setting, action planning, self-monitoring, feedback, peer modeling), and low-data delivery options. Main contribution: a prespecified, reproducible feasibility outcome defined as a composite "meaningful engagement" metric plus a parallel continuous engagement score, with SQL-ready logging definitions and MNAR sensitivity rules. The expected outcome is clear go/no-go evidence for progression: the pilot will estimate engagement proportions, usability and acceptability, short-term changes in intentions and self-efficacy, and chart-verified HPV uptake where feasible. Results will produce an IRB/funder-ready protocol, validated engagement definitions, and variance estimates to power an efficacy trial.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dataset = pilot RCT of n=80 participants (target range 60-100) recruited from rural clinics, community colleges, Cooperative Extension, and geotargeted social media; participant-level logs, baseline/1-month/3-month surveys, and chart/IIS vaccination records where consent is given. Baselines: (A) information-only control (static webpages with same content text but no interactive tasks, no SMS), (B) intervention minus goal-setting (ablation), (C) intervention minus SMS reminders (ablation). Evaluation metrics: Primary = proportion achieving binary "meaningful engagement" at 3 months. Secondary = continuous engagement score, SUS usability (0-100), CSQ-8 satisfaction (8-32), change in behavior-specific self-efficacy and intention scores (continuous), module completion counts, time-on-site, SMART goal creation, 30-day goal follow-through, and chart-verified HPV vaccine uptake (binary). Definitions and logging: % content viewed per module = max(scroll_depth_fraction, active_visibility_time_fraction, interactive_event_completion_fraction). Implemented thresholds: module completed if % content viewed &gt;=0.80 or all core interactive events completed. Core interactive events enumerated as event IDs: module_quiz_complete, action_plan_submit, goal_create, calendar_schedule_click. Provide SQL-like pseudocode to compute binary engagement: SELECT participant_id, CASE WHEN ((modules_completed_count &gt;=4) OR (core_task_modules_count &gt;=3 AND total_time_seconds &gt;=1800)) AND goal_created AND followthrough_within_30d THEN 1 ELSE 0 END AS meaningful_engagement FROM user_logs JOIN goals ON ... . Statistical analysis: primary test = mixed-effects logistic regression for binary engagement with random intercepts for participant and county, fixed effect for arm, covariates = age, sex/gender, baseline outcome value, insurance status, RUCC rurality index, recruitment channel; report odds ratio and 95% CI. Secondary analyses: linear mixed models for continuous mediators with same random structure. Missing data: primary = ML-based models assuming MAR; sensitivity = pattern-mixture delta adjustments with deltas = -0.2,-0.5,-0.8 SD and selection-model tipping-point analysis on log-odds. Ablations: compare full intervention vs ablation arms to estimate component effects (goal-setting and SMS). Power/precision: compute 95% CI for engagement proportion: for p=0.70, n=60 -&gt; SE=0.059 (CI approx 0.58-0.82); for n=100 -&gt; SE=0.046. Reporting: pre-register ITT (all randomized) as primary and per-protocol (participants with &gt;=1 module access) as exploratory. Qualitative: purposive interviews N=24 stratified by vaccination status, student status, and engagement pass/fail; rapid thematic coding mapped to COM-B; integrate via convergence tables to explain quantitative patterns.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logging gaps from poor connectivity or browser backgrounding may undercount active visibility; server outages may drop events. Measurement bias: self-reported behaviors and intentions are vulnerable to social desirability. Evaluation bias: small pilot sample limits precision and external validity. IIS/chart verification limits: state registries vary in access and timeliness; deterministic matching may fail for name/DOB mismatches. Missing data: differential dropout may be MNAR (missing not at random) and can bias estimates. Scalability: interactive features, SMS volume, and hosting costs grow with users; per-user marginal costs may differ from pilot projections. Generalization: results may not apply to non-rural or older age groups. Privacy trade-offs: low-friction anonymous tokens reduce chart-verification linkage. Statistical limits: pilot is not powered for definitive efficacy on clinical endpoints; variance estimates may be noisy.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