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a2a_cp_csf_signaling</w:t>
      </w:r>
    </w:p>
    <w:p>
      <w:r>
        <w:t xml:space="preserve"> </w:t>
      </w:r>
    </w:p>
    <w:p>
      <w:pPr>
        <w:pStyle w:val="Heading2"/>
      </w:pPr>
      <w:r>
        <w:t>Title</w:t>
      </w:r>
    </w:p>
    <w:p>
      <w:r>
        <w:t>Multimodal mechanistic study of adenosine A2A receptor signaling in the choroid plexus and its effect on cerebrospinal fluid secretion and ventriculomegaly</w:t>
      </w:r>
    </w:p>
    <w:p>
      <w:r>
        <w:t xml:space="preserve"> </w:t>
      </w:r>
    </w:p>
    <w:p>
      <w:pPr>
        <w:pStyle w:val="Heading2"/>
      </w:pPr>
      <w:r>
        <w:t>Short Hypothesis</w:t>
      </w:r>
    </w:p>
    <w:p>
      <w:r>
        <w:t>Aberrant activation of A2A receptors in choroid plexus epithelial cells increases CSF secretion and causes ventriculomegaly via PI3K/AKT-dependent SPAK phosphorylation and NF-κB–dependent upregulation of ATP1A2, and selective A2A antagonism or biased ligands will reduce transporter phosphorylation, decrease CSF secretion, and prevent ventricular enlargement.</w:t>
      </w:r>
    </w:p>
    <w:p>
      <w:r>
        <w:t xml:space="preserve"> </w:t>
      </w:r>
    </w:p>
    <w:p>
      <w:pPr>
        <w:pStyle w:val="Heading2"/>
      </w:pPr>
      <w:r>
        <w:t>Related Work</w:t>
      </w:r>
    </w:p>
    <w:p>
      <w:r>
        <w:t>Existing work has established that adenosine A2A receptors are Gs‑coupled receptors that raise intracellular cAMP and can engage beta‑arrestin/ERK pathways; separate studies show NKCC1 and AQP1 mediate ion and water movement in the choroid plexus and influence CSF production. Prior hydrocephalus studies commonly use kaolin-induced obstruction to drive ventriculomegaly and have measured CSF flow changes with ventriculo‑cisternal perfusion and MRI volumetry. Key weaknesses remain: most prior studies do not localize A2A receptor expression precisely to choroid plexus epithelial subtypes, lack validated phospho‑epitope stoichiometry for NKCC1/SPAK in CP, and do not causally link A2A signaling to CSF production in vivo using CP‑specific genetic tools. Pharmacology studies have rarely tested ligand bias (Gs/cAMP versus arrestin) in CP, and many antibody or biosensor readouts lack orthogonal confirmation (for example targeted phospho‑mass spectrometry or surface biotinylation). Translational gaps include sparse, heterogeneous human CP data and limited testing across diverse hydrocephalus models (e.g., post‑hemorrhagic or genetic), increasing the risk that effects seen in one model do not generalize.</w:t>
      </w:r>
    </w:p>
    <w:p>
      <w:r>
        <w:t xml:space="preserve"> </w:t>
      </w:r>
    </w:p>
    <w:p>
      <w:pPr>
        <w:pStyle w:val="Heading2"/>
      </w:pPr>
      <w:r>
        <w:t>Abstract</w:t>
      </w:r>
    </w:p>
    <w:p>
      <w:r>
        <w:t>Hydrocephalus can result from excess cerebrospinal fluid (CSF) production leading to ventricular enlargement (ventriculomegaly). We propose a focused mechanistic program to test whether adenosine A2A receptor (A2AR) signaling in choroid plexus (CP) epithelium drives increased CSF secretion via two parallel mechanisms: PI3K/AKT-dependent SPAK phosphorylation that activates NKCC1, and NF-κB-dependent transcriptional upregulation of ATP1A2. The approach combines CP‑specific genetic perturbation, ex vivo CP functional assays, targeted phospho‑proteomics, validated biosensors, and in vivo ventriculo‑cisternal perfusion with longitudinal MRI. Main contributions are (1) definitive causal mapping of A2AR→transporter signaling axes in CP, (2) orthogonal biomarker panels (phospho‑MS, surface trafficking, cAMP/PKA biosensors) that quantify target engagement, and (3) preclinical pharmacology comparing systemic versus CP‑targeted A2AR antagonists and biased ligands. Expected outcomes are demonstration of whether A2AR modulation alters CSF secretion and ventricular volume, quantitative target engagement thresholds for efficacy, and a translational framework to evaluate A2AR-directed therapeutics for hydrocephalus.</w:t>
      </w:r>
    </w:p>
    <w:p>
      <w:r>
        <w:t xml:space="preserve"> </w:t>
      </w:r>
    </w:p>
    <w:p>
      <w:pPr>
        <w:pStyle w:val="Heading2"/>
      </w:pPr>
      <w:r>
        <w:t>Experiments</w:t>
      </w:r>
    </w:p>
    <w:p>
      <w:r>
        <w:t>Datasets and biological materials: (1) Mouse cohorts: wild‑type adult rodents, inducible CP‑specific Adora2a knockout (Ttr-CreERT2 or FoxJ1-CreERT2), AAV‑CRISPRi CP knockdown, kaolin-induced hydrocephalus model, post‑hemorrhagic intraventricular blood injection model, and one genetic hydrocephalus model (e.g., L1cam mutant or similar). Group sizes per power calc below. (2) Ex vivo: primary CP epithelial cell cultures, CP explants, CP cell line. (3) Human CP tissue bank: n=20 total (10 hydrocephalus, 10 controls) stratified by subtype, age, postmortem interval (PMI), and medication history. Baselines and controls: vehicle, non‑targeting AAV or sham surgery, NKCC1 inhibitor (bumetanide) as functional positive control, Adora2a global KO tissue as negative control, and rescue with AAV‑A2A where applicable. Evaluation metrics: primary endpoints—percent change in CSF production rate (ventriculo‑cisternal perfusion) and percent change in ventricular volume (MRI volumetry). Secondary endpoints—CP cAMP levels, PKA substrate phosphorylation, pSPAK/pNKCC1 stoichiometry (targeted phospho‑MS), NKCC1 and AQP1 surface fraction (surface biotinylation), Adora2a transcript counts per cell (RNAscope), beta‑arrestin recruitment (BRET), and behavioral scores (motor and cognition). Assays and measurement methods: targeted phospho‑mass spectrometry for exact phosphosite stoichiometry (measures fraction of protein phosphorylated), surface biotinylation with quantitative Western blot for membrane fraction, RNAscope single‑molecule FISH for transcripts per cell, GloSensor or Epac‑FRET biosensors for cAMP in CP explants, ventriculo‑cisternal perfusion for CSF secretion rate, and 3D T2 MRI with automated ventricular segmentation. Power calculations and sample sizes (two‑sided t tests unless otherwise stated): CSF production: assumed effect size = 30% reduction, SD = 20% (values as percent of baseline); required n per group = 2*(Z1-α/2+Z1-β)^2*(σ^2)/(Δ^2) = 2*(1.96+0.84)^2*(0.20^2)/(0.30^2) ≈ 7 animals per group; recommend n = 8–10 to allow attrition. Ventricular volume: assumed effect size = 25% reduction, SD = 18%; computed n ≈ 9 animals per group; recommend n = 10–12 for longitudinal MRI. Interim analyses and stopping rules: one interim analysis at 50% enrollment using O'Brien‑Fleming boundary for efficacy (two‑sided alpha spending) and futility stopping if conditional power &lt;20% given observed effects; safety monitoring continuous with predefined telemetry thresholds. Randomization and blinding: randomize animals by computer algorithm stratified by sex and baseline weight; allocation concealment via coded treatment vials; outcome assessors and image analysts blinded to group. Handling missing data and outliers: prespecify criteria for technical exclusion (e.g., failed perfusion, MRI motion artifacts), analyze remaining data with mixed‑effects models (random intercept per animal), and use multiple imputation for missing covariates only. Multiplicity control: hierarchical testing—primary endpoints in order: (1) CSF production, (2) ventricular volume; if both significant at α=0.05 proceed to pre‑specified secondary analyses with Benjamini‑Hochberg FDR q&lt;0.05. Comparisons and ablations: (A) Compare systemic A2A antagonist dosing versus intracerebroventricular (ICV) delivery and versus CP‑targeted AAV expression of antagonist or RNAi; (B) Ablation panel: CP‑specific Adora2a KO versus wildtype versus rescue with AAV‑A2A; (C) Ligand bias comparison: classical antagonist (ZM241385) versus clinically used istradefylline versus candidate biased ligands, with bias quantified by ΔΔlog(τ/KA) across cAMP and β‑arrestin assays. Predefined statistical tests: mixed‑effects ANOVA for longitudinal measures, two‑sample t tests or nonparametric equivalents for terminal readouts, and operational model fitting for ligand bias. Data reporting: report raw data files (imaging stacks, mass spec spectra, biosensor traces), analysis code, and RRIDs for reagents.</w:t>
      </w:r>
    </w:p>
    <w:p>
      <w:r>
        <w:t xml:space="preserve"> </w:t>
      </w:r>
    </w:p>
    <w:p>
      <w:pPr>
        <w:pStyle w:val="Heading2"/>
      </w:pPr>
      <w:r>
        <w:t>Risk Factors And Limitations</w:t>
      </w:r>
    </w:p>
    <w:p>
      <w:r>
        <w:t>1) Antibody and phospho‑epitope specificity: commercial phospho‑antibodies may cross‑react or give nonspecific bands, causing false pNKCC1 readouts. 2) Biosensor perturbation: AAV‑expressed cAMP/PKA biosensors could alter CP cell physiology or have limited dynamic range in dense CP tissue. (A biosensor is a protein that reports a biochemical signal as light or fluorescence.) 3) Cre recombinase penetrance: inducible CP Cre lines may show incomplete or variable recombination (&lt;80%) or undesired off‑target recombination, limiting causal interpretation. 4) AAV tropism and immune responses: chosen AAV serotypes may transduce non‑CP cells or provoke immune responses that alter CSF dynamics. 5) Model‑specific confounders: kaolin causes inflammation and fibrosis; post‑hemorrhagic models introduce blood breakdown products that independently alter CP transporters; genetic models may not recapitulate acquired hydrocephalus. 6) Human tissue variability: limited sample size, variable PMI, medication histories (e.g., caffeine) and comorbidities will add noise and reduce power for translational assays. 7) Pharmacology off‑target effects: systemic A2A antagonists may affect cardiac or vascular adenosine receptors (A1/A2B/A3), confounding safety and efficacy readouts. 8) Measurement noise and surgical failure: ventriculo‑cisternal perfusion and precise MRI ventricular segmentation are technically demanding and prone to failed runs or motion artifacts that reduce usable data. 9) Limited generalization: findings in rodents may not translate to human CP physiology due to species differences in transporter regulation and receptor expression. 10) Resource and timeline constraints: required proteomics, MRI, and telemetry capacity may limit throughput and delay replication cohorts.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