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laboratory_testing_errors_3yr_retrospective</w:t>
      </w:r>
    </w:p>
    <w:p>
      <w:r>
        <w:t xml:space="preserve"> </w:t>
      </w:r>
    </w:p>
    <w:p>
      <w:pPr>
        <w:pStyle w:val="Heading2"/>
      </w:pPr>
      <w:r>
        <w:t>Title</w:t>
      </w:r>
    </w:p>
    <w:p>
      <w:r>
        <w:t>Three-year retrospective analysis using standardized error taxonomy, descriptive statistics, and sigma metrics to quantify laboratory testing errors in a general hospital</w:t>
      </w:r>
    </w:p>
    <w:p>
      <w:r>
        <w:t xml:space="preserve"> </w:t>
      </w:r>
    </w:p>
    <w:p>
      <w:pPr>
        <w:pStyle w:val="Heading2"/>
      </w:pPr>
      <w:r>
        <w:t>Short Hypothesis</w:t>
      </w:r>
    </w:p>
    <w:p>
      <w:r>
        <w:t>Pre-analytical errors, particularly specimen mislabeling and insufficient volume, produce a higher rate of clinically significant patient harm than analytical or post-analytical errors.</w:t>
      </w:r>
    </w:p>
    <w:p>
      <w:r>
        <w:t xml:space="preserve"> </w:t>
      </w:r>
    </w:p>
    <w:p>
      <w:pPr>
        <w:pStyle w:val="Heading2"/>
      </w:pPr>
      <w:r>
        <w:t>Related Work</w:t>
      </w:r>
    </w:p>
    <w:p>
      <w:r>
        <w:t>Prior work has focused on improving error detection via rule-based flags or manual review, applying descriptive benchmarking (errors per tests) and using small pilot validations with adjudication. Several studies propose sigma metrics (a quality measure derived from defect rates) for benchmarking laboratory performance. Limitations in existing approaches include inconsistent error taxonomies, variable instrument index cutoffs (hemolysis/lipemia/icterus), limited systematic validation of automated flags against a blinded gold standard, sparse handling of clustering by unit, and few multicenter comparisons. Many prior analyses do not pre-specify sample-size calculations for diagnostic accuracy (sensitivity/PPV) under clustered designs, nor do they report inter-rater reliability or quantitative bias analyses for misclassification and missingness.</w:t>
      </w:r>
    </w:p>
    <w:p>
      <w:r>
        <w:t xml:space="preserve"> </w:t>
      </w:r>
    </w:p>
    <w:p>
      <w:pPr>
        <w:pStyle w:val="Heading2"/>
      </w:pPr>
      <w:r>
        <w:t>Abstract</w:t>
      </w:r>
    </w:p>
    <w:p>
      <w:r>
        <w:t>Laboratory testing errors across pre-analytical, analytical, and post-analytical phases can cause diagnostic delays and patient harm. We will perform a three-year retrospective analysis of laboratory error records and incident reports from a general hospital using a standardized error taxonomy, dual independent chart abstraction with adjudication, automated derivations from LIS/EHR, and sigma metrics (a metric that converts error rate into a standardized quality score). The contribution is a reproducible protocol that quantifies error incidence per 1,000 tests, stratifies errors by specimen source and unit, validates automated detection against a blinded manual gold standard, and models predictors of errors using mixed-effects models that account for clustering by unit. Expected outcomes include validated sensitivity and PPV estimates for automated flags, identification of high-frequency/high-harm error clusters, time-to-correction distributions, and sigma-metric benchmarks to inform targeted quality improvements and governance reporting.</w:t>
      </w:r>
    </w:p>
    <w:p>
      <w:r>
        <w:t xml:space="preserve"> </w:t>
      </w:r>
    </w:p>
    <w:p>
      <w:pPr>
        <w:pStyle w:val="Heading2"/>
      </w:pPr>
      <w:r>
        <w:t>Experiments</w:t>
      </w:r>
    </w:p>
    <w:p>
      <w:r>
        <w:t>Datasets: three years of LIS and EHR extracts (orders, specimens, timestamps, instrument indices, QC logs, LIS edits, incident reports); 4-week pilot sample (~5,000 tests across 10–15 units) to estimate ICC and cluster sizes; external validation datasets from two regional academic labs and one community hospital; optional public ICU dataset (MIMIC-IV) if mapping allows. Baselines: (1) current LIS rule-based flags, (2) manual chart abstraction gold standard, (3) simplified rule that flags only hemolysis/QNS. Validation sampling: stratified sampling by test family (chemistry, hematology, microbiology, transfusion), clinical unit (ED, ICU, wards, outpatient), and volume tertile; prospective manual review targets: ~300 algorithm-positive and ~600 algorithm-negative for initial sensitivity/specificity estimation; ~2,000 no-error reviews stratified to estimate false-negative rate. Evaluation metrics: incidence per 1,000 tests, sensitivity, specificity, PPV, NPV (with 95% CIs), Cohen's kappa and Gwet AC1 for IRR, median time-to-correction, hazard ratios for time-to-correction (Cox frailty models), sigma metrics (defects per million converted to sigma), calibration plots, AUC drift metrics for algorithm monitoring. Experimental setup: dual independent abstraction with blinded adjudication panel; automated ETL linking orderID, specimenID, timestamps; mixed-effects logistic regression for predictors (random intercepts for unit and patient), Cox frailty for time-to-correction, multiple imputation by chained equations for missing covariates, bootstrap CIs for robust estimation. Ablation studies: (A) harmonized vs native instrument index cutoffs, (B) with vs without clustering adjustment (DEFF), (C) rule-based flag thresholds swept to show sensitivity/PPV trade-offs. Reporting: full reproducible R/Python notebooks and a parameterized sample-size calculator that shows required positives/negatives under prevalence scenarios and DEFF adjustments.</w:t>
      </w:r>
    </w:p>
    <w:p>
      <w:r>
        <w:t xml:space="preserve"> </w:t>
      </w:r>
    </w:p>
    <w:p>
      <w:pPr>
        <w:pStyle w:val="Heading2"/>
      </w:pPr>
      <w:r>
        <w:t>Risk Factors And Limitations</w:t>
      </w:r>
    </w:p>
    <w:p>
      <w:r>
        <w:t>Low prevalence of certain error types may reduce PPV and require much larger samples; high inter-unit clustering (ICC) can inflate required sample sizes; automated ETL or mapping errors can cause double-counting or mis-indexing of panels/reflex tests; manual abstraction is resource intensive and subject to adjudicator bias; MAR (missing at random) assumption for imputation may be violated, causing biased estimates; external validation may be limited by heterogenous instrument index scales and incomplete partner data elements; sigma metrics summarize defect rates but do not capture contextual clinical severity; security, IRB, and data‑use approvals may delay data access and increase timeline.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