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triherbal_thromboinflammation_diabetes</w:t>
      </w:r>
    </w:p>
    <w:p>
      <w:r>
        <w:t xml:space="preserve"> </w:t>
      </w:r>
    </w:p>
    <w:p>
      <w:pPr>
        <w:pStyle w:val="Heading2"/>
      </w:pPr>
      <w:r>
        <w:t>Title</w:t>
      </w:r>
    </w:p>
    <w:p>
      <w:r>
        <w:t>Standardized triherbal extract pharmacology and anti‑thromboinflammatory efficacy in experimental diabetic rats using ferric‑chloride arterial thrombosis</w:t>
      </w:r>
    </w:p>
    <w:p>
      <w:r>
        <w:t xml:space="preserve"> </w:t>
      </w:r>
    </w:p>
    <w:p>
      <w:pPr>
        <w:pStyle w:val="Heading2"/>
      </w:pPr>
      <w:r>
        <w:t>Short Hypothesis</w:t>
      </w:r>
    </w:p>
    <w:p>
      <w:r>
        <w:t>Oral treatment with a standardized 1:1:1 aqueous extract of Moringa oleifera, Ocimum gratissimum, and Vernonia amygdalina reduces arterial thrombus formation (increases time-to-occlusion) and lowers thromboinflammatory biomarkers in diabetic rats compared with vehicle, without causing clinically significant bleeding.</w:t>
      </w:r>
    </w:p>
    <w:p>
      <w:r>
        <w:t xml:space="preserve"> </w:t>
      </w:r>
    </w:p>
    <w:p>
      <w:pPr>
        <w:pStyle w:val="Heading2"/>
      </w:pPr>
      <w:r>
        <w:t>Related Work</w:t>
      </w:r>
    </w:p>
    <w:p>
      <w:r>
        <w:t>Prior work has tested single herbs and blended herbal extracts in diabetic rodent models, often reporting changes in blood glucose, basic hematology, and occasional antioxidant or inflammatory markers. Existing thrombosis studies used different induction methods (e.g., ferric chloride chemical injury, photochemical injury) and varied endpoints, producing inconsistent sensitivity. Limitations in prior approaches include poor botanical and chemical standardization (batch variability), limited or no pharmacokinetic (PK) data tying exposure to effect, small sample sizes without formal power justification, sparse biomarker panels (few platelet activation or endothelial markers), inconsistent blinding/randomization, and inadequate safety/bleeding assessments. These weaknesses reduce reproducibility and block clear mechanistic interpretation and translational assessment.</w:t>
      </w:r>
    </w:p>
    <w:p>
      <w:r>
        <w:t xml:space="preserve"> </w:t>
      </w:r>
    </w:p>
    <w:p>
      <w:pPr>
        <w:pStyle w:val="Heading2"/>
      </w:pPr>
      <w:r>
        <w:t>Abstract</w:t>
      </w:r>
    </w:p>
    <w:p>
      <w:r>
        <w:t>Diabetes increases the risk of blood clot formation driven by combined platelet activation, endothelial dysfunction, and inflammation (together called thromboinflammation). This study tests whether a chemically standardized aqueous 1:1:1 extract of Moringa oleifera, Ocimum gratissimum, and Vernonia amygdalina reduces arterial thrombosis and thromboinflammatory biomarkers in diabetic rats. We will standardize extract batches to defined marker compounds, measure pharmacokinetics (PK) of markers, and test efficacy in two diabetic models (streptozotocin-induced and high-fat-diet plus streptozotocin models). The primary functional endpoint is time-to-occlusion in a ferric‑chloride arterial injury model (a chemical method to form arterial clots measured by Doppler flow). Secondary endpoints include tail-bleeding time, platelet aggregation, flow-cytometry platelet activation, coagulation tests, cytokines, endothelial markers, histology, and safety labs. Main contributions are a reproducible botanical standard, integrated PK/PD linking marker exposure to antithrombotic effect, and a rigorous, blinded in vivo study comparing blended extract, individual extracts, and marker-depleted fractions. Expected outcomes are dose–response efficacy, safety profile, and mechanistic biomarker signatures to inform translational development.</w:t>
      </w:r>
    </w:p>
    <w:p>
      <w:r>
        <w:t xml:space="preserve"> </w:t>
      </w:r>
    </w:p>
    <w:p>
      <w:pPr>
        <w:pStyle w:val="Heading2"/>
      </w:pPr>
      <w:r>
        <w:t>Experiments</w:t>
      </w:r>
    </w:p>
    <w:p>
      <w:r>
        <w:t>Datasets: male and female Sprague-Dawley rats, two diabetes models: (1) STZ model (streptozotocin; chemical beta-cell destroyer) and (2) HFD/STZ model (high-fat diet followed by low-dose STZ to model insulin resistance plus beta-cell impairment). Pilot phase: n=8 animals/group (single sex) to estimate variance. Confirmatory phase: n=20 animals per sex per group. Groups: vehicle (0.5% CMC + 0.1% Tween-80), triherbal blend low/medium/high (50,150,450 mg/kg PO), individual extracts (150 mg/kg each), marker-depleted fraction (450 mg/kg), positive controls: aspirin 30 mg/kg PO, enoxaparin 1 mg/kg SC. Dosing: once daily oral gavage for 28 days; dose volume 10 mL/kg. Primary endpoint: time-to-occlusion (TTO) in ferric chloride (FeCl3) arterial injury model measured by Doppler flow; define occlusion as sustained zero flow &gt;= 60 s; censor at 1800 s (30 min). Secondary endpoints: tail-bleeding time (seconds), thrombus weight (mg) and cross-sectional area (mm2), ex vivo platelet aggregation (% aggregation to ADP and collagen), flow cytometry %CD62P+ platelets and %PAC-1+ (activated integrin), coagulation panel (PT, aPTT, fibrinogen, D-dimer), cytokines (IL-6, TNF-α, CRP), endothelial markers (vWF, soluble ICAM-1/VCAM-1), oxidative stress (MDA, SOD, GSH), PK metrics for 2–3 marker compounds (Cmax, AUC0-∞, Tmax, t1/2), safety labs (ALT, AST, BUN, creatinine, CBC with platelets), and blinded histopathology with semi-quantitative 0–4 scoring. Experimental setup: randomization by stratified block (sex, baseline glycemia); dosing staff separated from outcome assessors; outcome assessors blinded. PK sampling: single-dose PK pilot with plasma at 0,0.25,0.5,1,2,4,6,8,12,24 h; tissue PK at 1,4,24 h (liver,kidney,arterial wall). Bioanalysis: validated LC-MS/MS for markers with isotopic or qualified surrogate internal standards. Statistical analysis: primary TTO by Kaplan–Meier and log-rank test plus Cox proportional hazards with covariates; longitudinal biomarkers by linear mixed-effects models; censoring at 1800 s; multiplicity control by Holm for key secondaries. Comparison/ablation studies: (A) blended extract versus individual extracts to test synergy; (B) blended extract versus marker-depleted fraction to test marker contribution; (C) dose-response across 50/150/450 mg/kg. Predefined data cutoffs and sample-size adjustments based on pilot SDs.</w:t>
      </w:r>
    </w:p>
    <w:p>
      <w:r>
        <w:t xml:space="preserve"> </w:t>
      </w:r>
    </w:p>
    <w:p>
      <w:pPr>
        <w:pStyle w:val="Heading2"/>
      </w:pPr>
      <w:r>
        <w:t>Risk Factors And Limitations</w:t>
      </w:r>
    </w:p>
    <w:p>
      <w:r>
        <w:t>Botanical variability: natural variation in plant material may change marker content and activity across batches. Marker identification failure: inability to isolate or quantify stable marker compounds could prevent PK/PD linking. Low systemic exposure: oral bioavailability of markers may be too low to reach active concentrations, limiting efficacy. Bleeding risk: antithrombotic effects might cause excessive bleeding; tail-bleeding and clinical signs may require stopping. Model limits: STZ and HFD/STZ are rodent surrogates and may not fully predict human diabetes-thromboinflammation. Assay variability: inter-assay and matrix effects in multiplex cytokine or LC-MS assays can bias results. Sample size and power: pilot variance estimates may show larger SDs than assumed, reducing power. Ethics and throughput: large group sizes increase animal use and resource needs. Data missingness: dropouts or assay failures could cause non-random missing data (MNAR) affecting inference. Histology scoring subjectivity: semi-quantitative scores may vary between pathologists without harmonization. Resource limits: cost and time for isolation of markers, LC-MS validation, and PK studies may constrain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