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fcm_cds_trust_quant</w:t>
      </w:r>
    </w:p>
    <w:p>
      <w:r>
        <w:t xml:space="preserve"> </w:t>
      </w:r>
    </w:p>
    <w:p>
      <w:pPr>
        <w:pStyle w:val="Heading2"/>
      </w:pPr>
      <w:r>
        <w:t>Title</w:t>
      </w:r>
    </w:p>
    <w:p>
      <w:r>
        <w:t>Quantifying clinicians' perceived trust in interpretable COVID-19 diagnostic clinical decision support using fuzzy cognitive maps and degree-of-agreement validation</w:t>
      </w:r>
    </w:p>
    <w:p>
      <w:r>
        <w:t xml:space="preserve"> </w:t>
      </w:r>
    </w:p>
    <w:p>
      <w:pPr>
        <w:pStyle w:val="Heading2"/>
      </w:pPr>
      <w:r>
        <w:t>Short Hypothesis</w:t>
      </w:r>
    </w:p>
    <w:p>
      <w:r>
        <w:t>Trust scores derived from clinicians' fuzzy cognitive maps (FCMs) predict clinicians' acceptance of COVID-19 CDS recommendations more accurately than scores from a standard CDS‑Trust survey.</w:t>
      </w:r>
    </w:p>
    <w:p>
      <w:r>
        <w:t xml:space="preserve"> </w:t>
      </w:r>
    </w:p>
    <w:p>
      <w:pPr>
        <w:pStyle w:val="Heading2"/>
      </w:pPr>
      <w:r>
        <w:t>Related Work</w:t>
      </w:r>
    </w:p>
    <w:p>
      <w:r>
        <w:t>Work on clinician trust in explainable AI has focused on validated trust and usability surveys, behavioral proxies (acceptance, override), and comparison of explanation types (feature importance, counterfactuals). Prior measurement approaches rely mainly on questionnaires and isolated behavioral logs, and they rarely capture explicit clinician causal beliefs or mental models. Interpretability research offers intrinsic interpretable models (e.g., GAMs) and post-hoc explainers (SHAP, LIME), with quality metrics like fidelity and stability, but these metrics are seldom linked quantitatively to clinician trust or to clinicians' own mental models. Fuzzy cognitive maps (FCMs) — a graph-based method to elicit causal beliefs where nodes are concepts and weighted edges represent causal strength — have been used in other domains to capture mental models, but they are not widely applied to measure perceived trust in clinical CDS. Gaps: (1) few methods convert elicited mental models into quantitative trust scores; (2) limited validation tying elicited trust to real behavior; (3) explanation quality metrics are not routinely used to weight or calibrate trust measures; (4) existing studies often lack cluster-aware designs or strong causal analyses linking explanations, perceived trust, and adoption.</w:t>
      </w:r>
    </w:p>
    <w:p>
      <w:r>
        <w:t xml:space="preserve"> </w:t>
      </w:r>
    </w:p>
    <w:p>
      <w:pPr>
        <w:pStyle w:val="Heading2"/>
      </w:pPr>
      <w:r>
        <w:t>Abstract</w:t>
      </w:r>
    </w:p>
    <w:p>
      <w:r>
        <w:t>We propose a method to elicit, quantify, and validate clinicians' perceived trust in an interpretable clinical decision support (CDS) system for COVID-19 diagnosis by combining fuzzy cognitive maps (FCMs) and a degree-of-agreement validation metric. An FCM is a simple directed graph where clinicians place clinical concepts as nodes and draw weighted causal links to express their beliefs; we convert each clinician's FCM into a numeric trust score that reflects perceived competence, transparency, and safety. We validate these scores against post-use survey responses and behavioral proxies (recommendation acceptance, override) using a degree-of-agreement metric (normalized correlation and categorical agreement). The main contribution is a reproducible pipeline that: (1) elicits FCMs in brief co-design sessions, (2) computes standardized trust scores, and (3) links trust scores to behavior and explanation quality (fidelity, stability, sparsity). Expected outcomes are a validated, clinician-grounded trust measure that predicts adoption better than standard surveys and clear operating characteristics for explanation-quality thresholds that inform safe CDS deployment.</w:t>
      </w:r>
    </w:p>
    <w:p>
      <w:r>
        <w:t xml:space="preserve"> </w:t>
      </w:r>
    </w:p>
    <w:p>
      <w:pPr>
        <w:pStyle w:val="Heading2"/>
      </w:pPr>
      <w:r>
        <w:t>Experiments</w:t>
      </w:r>
    </w:p>
    <w:p>
      <w:r>
        <w:t>Datasets: pseudonymized EHR-derived COVID-19 cases from 3 hospitals (≥1,000 encounters) for simulated case review; clinician participants: psychometric cohort N=300 clinicians across ≥3 sites; pilot perturbation set: 50 diverse encounters; pragmatic evaluation: cluster-randomized trial with 20 clusters per arm and ≈20 clinicians per cluster (≈800 clinicians total). Baselines: (A) standard CDS-Trust survey score (5–10 items), (B) System Usability Scale (SUS), (C) behavioral proxies only (acceptance rate, override rate), (D) random baseline. Primary outcome and test: predictive accuracy of trust measure for recommendation acceptance (binary per recommendation). Primary metric: mixed-effects R2 (variance explained) and Spearman correlation between trust score and acceptance probability; primary comparison: difference in R2 and Spearman rho between FCM-derived score and standard survey (paired, two-sided test, alpha=0.05). Secondary metrics: AUC of logistic mixed model predicting acceptance, MAE between normalized trust score and observed acceptance rate per clinician, Cohen's kappa for categorical trust bins (low/medium/high). Explanation-quality metrics (fidelity = Spearman between explainer and model importance ranks; stability = median Jaccard of top-3 features under Npert perturbations per case; sparsity = count of top features presented) reported per model version and used as covariates. Experimental setup: (1) Elicit FCMs in 15–20 minute sessions and compute normalized trust scores (range 0–1). (2) Randomize clinicians (cluster-stratified) to explanation modalities in CDS deployment. (3) Collect EHR logs: recommendation_shown, explanation_id, explanation_type, model_version, action (accepted/overridden), decision_time, override_reason. (4) Fit primary linear mixed model: trust_post = β0 + β1*treatment + β2*trust_base + β3*covariates + u_site + ε with Kenward–Roger df and cluster-robust SEs; and logistic mixed model for acceptance. (5) Mediation analysis: multilevel mediation testing whether FCM-trust mediates effect of explanation modality on acceptance (sequential ignorability assumed). Ablation studies: (A) remove explanation-quality weighting from trust-score computation, (B) compare local (per-case) vs global aggregated FCM trust, (C) vary perturbation counts Npert ∈ {50,100} and report convergence of stability/fidelity metrics. Multiple comparisons: primary alpha=0.05; secondary outcomes controlled by Benjamini–Hochberg FDR. Sensitivity analyses: ICC range {0.03,0.05,0.10} for power tables; MNAR scenarios for missing survey responses via pattern-mixture deltas.</w:t>
      </w:r>
    </w:p>
    <w:p>
      <w:r>
        <w:t xml:space="preserve"> </w:t>
      </w:r>
    </w:p>
    <w:p>
      <w:pPr>
        <w:pStyle w:val="Heading2"/>
      </w:pPr>
      <w:r>
        <w:t>Risk Factors And Limitations</w:t>
      </w:r>
    </w:p>
    <w:p>
      <w:r>
        <w:t>Technical failure modes: poor-quality FCM elicitation (clinicians misunderstand FCM task) leading to noisy trust scores; explainer-model mismatch where model-derived importance differs systematically from explanation attributions, biasing fidelity measures. Data and evaluation biases: sampling bias if clinician participants are not representative (experience, role, language), social desirability in self-report, and confounding between clinician workload and acceptance behavior. Scalability and compute: stability and fidelity require many perturbations per case (compute cost); repeated auditing and logging at scale increase storage and processing needs. Limits to generalization: methods validated on COVID-19 CDS may not transfer to other clinical domains without re-elicitation; FCM structure may vary by specialty and local workflows, limiting cross-site comparability. Statistical limits: cluster randomization reduces effective sample size; high ICCs reduce power to detect small trust effects. Privacy and re-identification: pseudonymized logs carry residual re-identification risk if linkage keys are compromised. Ethical/legal constraints: physiologic or sensitive behavioral measures may require opt-in consent and reduce sample size. Measurement limits: degree-of-agreement metrics (correlation, kappa) do not prove causality and can be sensitive to thresholding when converting continuous trust scores into categories.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